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November 9, 2000</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Craig Saldene</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Denver, Colorado 80202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Petroglyph Energy Inc.</w:t>
      </w:r>
      <w:r>
        <w:rPr>
          <w:rFonts w:cs="Times New Roman" w:ascii="Times New Roman" w:hAnsi="Times New Roman"/>
          <w:sz w:val="20"/>
        </w:rPr>
        <w:t xml:space="preserve"> ("</w:t>
      </w:r>
      <w:r>
        <w:rPr>
          <w:rFonts w:cs="Times New Roman" w:ascii="Times New Roman" w:hAnsi="Times New Roman"/>
          <w:sz w:val="20"/>
          <w:u w:val="single"/>
        </w:rPr>
        <w:t>Petroglyph</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Petroglyph's transportation contract dated July 1, 1998 (ENA Global Contract No. 33206000) with Colorado Interstate Gas Company  </w:t>
      </w:r>
      <w:r>
        <w:rPr>
          <w:rFonts w:cs="Times New Roman" w:ascii="Times New Roman" w:hAnsi="Times New Roman"/>
          <w:sz w:val="20"/>
        </w:rPr>
        <w:t>(the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Petroglyph to assess and potentially develop commercial transactions, and as a condition to furnishing the information as set forth above, ENA and Petroglyph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Petroglyph and ENA does hereby acknowledge and agree that neither Petroglyph nor ENA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Petroglyph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highlight w:val="yellow"/>
        </w:rPr>
        <w:t>2.</w:t>
        <w:tab/>
      </w:r>
      <w:r>
        <w:rPr>
          <w:rFonts w:cs="Times New Roman" w:ascii="Times New Roman" w:hAnsi="Times New Roman"/>
          <w:sz w:val="20"/>
          <w:highlight w:val="yellow"/>
          <w:u w:val="single"/>
        </w:rPr>
        <w:t>Representations and Warranties</w:t>
      </w:r>
      <w:r>
        <w:rPr>
          <w:rFonts w:cs="Times New Roman" w:ascii="Times New Roman" w:hAnsi="Times New Roman"/>
          <w:sz w:val="20"/>
          <w:highlight w:val="yellow"/>
        </w:rPr>
        <w:t>.  ENA and Petroglyph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highlight w:val="yellow"/>
          <w:u w:val="single"/>
        </w:rPr>
        <w:t>Claims</w:t>
      </w:r>
      <w:r>
        <w:rPr>
          <w:rFonts w:cs="Times New Roman" w:ascii="Times New Roman" w:hAnsi="Times New Roman"/>
          <w:sz w:val="20"/>
          <w:highlight w:val="yellow"/>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highlight w:val="yellow"/>
        </w:rPr>
      </w:pPr>
      <w:r>
        <w:rPr>
          <w:rFonts w:cs="Times New Roman" w:ascii="Times New Roman" w:hAnsi="Times New Roman"/>
          <w:sz w:val="20"/>
          <w:highlight w:val="yellow"/>
        </w:rPr>
        <w:t>OR</w:t>
      </w:r>
    </w:p>
    <w:p>
      <w:pPr>
        <w:pStyle w:val="Normal"/>
        <w:ind w:firstLine="720" w:end="720"/>
        <w:jc w:val="both"/>
        <w:rPr>
          <w:rFonts w:ascii="Times New Roman" w:hAnsi="Times New Roman" w:cs="Times New Roman"/>
          <w:sz w:val="20"/>
          <w:highlight w:val="yellow"/>
        </w:rPr>
      </w:pPr>
      <w:r>
        <w:rPr>
          <w:rFonts w:cs="Times New Roman" w:ascii="Times New Roman" w:hAnsi="Times New Roman"/>
          <w:sz w:val="20"/>
          <w:highlight w:val="yellow"/>
        </w:rPr>
      </w:r>
    </w:p>
    <w:p>
      <w:pPr>
        <w:pStyle w:val="Normal"/>
        <w:ind w:firstLine="720" w:end="720"/>
        <w:jc w:val="both"/>
        <w:rPr>
          <w:rFonts w:ascii="Times New Roman" w:hAnsi="Times New Roman" w:cs="Times New Roman"/>
          <w:sz w:val="20"/>
        </w:rPr>
      </w:pPr>
      <w:r>
        <w:rPr>
          <w:rFonts w:cs="Times New Roman" w:ascii="Times New Roman" w:hAnsi="Times New Roman"/>
          <w:sz w:val="20"/>
          <w:highlight w:val="yellow"/>
        </w:rPr>
        <w:t>2.</w:t>
        <w:tab/>
      </w:r>
      <w:r>
        <w:rPr>
          <w:rFonts w:cs="Times New Roman" w:ascii="Times New Roman" w:hAnsi="Times New Roman"/>
          <w:sz w:val="20"/>
          <w:highlight w:val="yellow"/>
          <w:u w:val="single"/>
        </w:rPr>
        <w:t>Representations and Warranties</w:t>
      </w:r>
      <w:r>
        <w:rPr>
          <w:rFonts w:cs="Times New Roman" w:ascii="Times New Roman" w:hAnsi="Times New Roman"/>
          <w:sz w:val="20"/>
          <w:highlight w:val="yellow"/>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the American Arbitration Association ("</w:t>
      </w:r>
      <w:r>
        <w:rPr>
          <w:rFonts w:cs="Times New Roman" w:ascii="Times New Roman" w:hAnsi="Times New Roman"/>
          <w:sz w:val="20"/>
          <w:u w:val="single"/>
        </w:rPr>
        <w:t>AAA</w:t>
      </w:r>
      <w:r>
        <w:rPr>
          <w:rFonts w:cs="Times New Roman" w:ascii="Times New Roman" w:hAnsi="Times New Roman"/>
          <w:sz w:val="20"/>
        </w:rPr>
        <w:t>").  There shall be three arbitrators.  Each Party shall designate an arbitrator, who</w:t>
      </w:r>
      <w:r>
        <w:rPr>
          <w:sz w:val="20"/>
        </w:rPr>
        <w:t xml:space="preserve">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0"/>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w:t>
      </w:r>
      <w:r>
        <w:rPr>
          <w:rFonts w:cs="Times New Roman" w:ascii="Times New Roman" w:hAnsi="Times New Roman"/>
          <w:sz w:val="20"/>
        </w:rPr>
        <w:t>.  THIS AGREEMENT SHALL BE GOVERNED BY AND CONSTRUED IN ACCORDANCE WITH THE LAWS OF THE STATE OF TEXAS WITHOUT REGARD TO THE PRINCIPLES OF CONFLICTS OF LAWS THEREOF.</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8.</w:t>
        <w:tab/>
      </w:r>
      <w:r>
        <w:rPr>
          <w:rFonts w:cs="Times New Roman" w:ascii="Times New Roman" w:hAnsi="Times New Roman"/>
          <w:sz w:val="20"/>
          <w:highlight w:val="yellow"/>
          <w:u w:val="single"/>
        </w:rPr>
        <w:t>Term.</w:t>
      </w:r>
      <w:r>
        <w:rPr>
          <w:rFonts w:cs="Times New Roman" w:ascii="Times New Roman" w:hAnsi="Times New Roman"/>
          <w:sz w:val="20"/>
          <w:highlight w:val="yellow"/>
        </w:rPr>
        <w:t xml:space="preserve">  The provisions of Sections 3 and 4 hereof shall terminate on the date two years from the date of this letter.  [or]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Petroglyph: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ind w:end="720"/>
        <w:jc w:val="both"/>
        <w:rPr>
          <w:rFonts w:ascii="Times New Roman" w:hAnsi="Times New Roman" w:cs="Times New Roman"/>
          <w:sz w:val="20"/>
        </w:rPr>
      </w:pPr>
      <w:r>
        <w:rPr>
          <w:rFonts w:cs="Times New Roman" w:ascii="Times New Roman" w:hAnsi="Times New Roman"/>
          <w:sz w:val="20"/>
        </w:rPr>
        <w:t>Denver, Colorado 80202</w:t>
      </w:r>
    </w:p>
    <w:p>
      <w:pPr>
        <w:pStyle w:val="Normal"/>
        <w:ind w:end="720"/>
        <w:jc w:val="both"/>
        <w:rPr>
          <w:rFonts w:ascii="Times New Roman" w:hAnsi="Times New Roman" w:cs="Times New Roman"/>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Attn: _______________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ind w:end="720"/>
        <w:jc w:val="both"/>
        <w:rPr>
          <w:rFonts w:ascii="Times New Roman" w:hAnsi="Times New Roman" w:cs="Times New Roman"/>
          <w:sz w:val="20"/>
        </w:rPr>
      </w:pPr>
      <w:r>
        <w:rPr>
          <w:rFonts w:cs="Times New Roman" w:ascii="Times New Roman" w:hAnsi="Times New Roman"/>
          <w:sz w:val="20"/>
        </w:rPr>
        <w:t>If to ENA:</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ind w:end="720"/>
        <w:jc w:val="both"/>
        <w:outlineLvl w:val="0"/>
        <w:rPr>
          <w:rFonts w:ascii="Times New Roman" w:hAnsi="Times New Roman" w:cs="Times New Roman"/>
          <w:sz w:val="20"/>
        </w:rPr>
      </w:pPr>
      <w:r>
        <w:rPr>
          <w:rFonts w:cs="Times New Roman" w:ascii="Times New Roman" w:hAnsi="Times New Roman"/>
          <w:sz w:val="20"/>
        </w:rPr>
        <w:t>Enron North America Corp.</w:t>
      </w:r>
    </w:p>
    <w:p>
      <w:pPr>
        <w:pStyle w:val="Normal"/>
        <w:ind w:end="720"/>
        <w:jc w:val="both"/>
        <w:rPr>
          <w:rFonts w:ascii="Times New Roman" w:hAnsi="Times New Roman" w:cs="Times New Roman"/>
          <w:sz w:val="20"/>
        </w:rPr>
      </w:pPr>
      <w:r>
        <w:rPr>
          <w:rFonts w:cs="Times New Roman" w:ascii="Times New Roman" w:hAnsi="Times New Roman"/>
          <w:sz w:val="20"/>
        </w:rPr>
        <w:t>1400 Smith Street</w:t>
      </w:r>
    </w:p>
    <w:p>
      <w:pPr>
        <w:pStyle w:val="Normal"/>
        <w:ind w:end="720"/>
        <w:jc w:val="both"/>
        <w:rPr>
          <w:rFonts w:ascii="Times New Roman" w:hAnsi="Times New Roman" w:cs="Times New Roman"/>
          <w:sz w:val="20"/>
        </w:rPr>
      </w:pPr>
      <w:r>
        <w:rPr>
          <w:rFonts w:cs="Times New Roman" w:ascii="Times New Roman" w:hAnsi="Times New Roman"/>
          <w:sz w:val="20"/>
        </w:rPr>
        <w:t>Houston, Texas  77002</w:t>
      </w:r>
    </w:p>
    <w:p>
      <w:pPr>
        <w:pStyle w:val="Normal"/>
        <w:ind w:end="720"/>
        <w:jc w:val="both"/>
        <w:rPr>
          <w:rFonts w:ascii="Times New Roman" w:hAnsi="Times New Roman" w:cs="Times New Roman"/>
          <w:sz w:val="20"/>
        </w:rPr>
      </w:pPr>
      <w:r>
        <w:rPr>
          <w:rFonts w:cs="Times New Roman" w:ascii="Times New Roman" w:hAnsi="Times New Roman"/>
          <w:sz w:val="20"/>
        </w:rPr>
        <w:t>Facsimile:  713-853-_____</w:t>
      </w:r>
    </w:p>
    <w:p>
      <w:pPr>
        <w:pStyle w:val="Normal"/>
        <w:ind w:end="720"/>
        <w:jc w:val="both"/>
        <w:rPr>
          <w:rFonts w:ascii="Times New Roman" w:hAnsi="Times New Roman" w:cs="Times New Roman"/>
          <w:sz w:val="20"/>
        </w:rPr>
      </w:pPr>
      <w:r>
        <w:rPr>
          <w:rFonts w:cs="Times New Roman" w:ascii="Times New Roman" w:hAnsi="Times New Roman"/>
          <w:sz w:val="20"/>
        </w:rPr>
        <w:t xml:space="preserve">Attention: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PETROGLYPH ENERGY,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/mnt/main-storage/datasets/enron-docs/doc/Petroglyph_2_way_CA_2.0.doc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rPr>
    </w:pPr>
    <w:r>
      <w:rPr>
        <w:b/>
        <w:i/>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2000-11-09T20:41:00Z</dcterms:created>
  <dc:creator>ECT</dc:creator>
  <dc:description/>
  <dc:language>en-CA</dc:language>
  <cp:lastModifiedBy>egillas</cp:lastModifiedBy>
  <cp:lastPrinted>2000-11-10T17:07:00Z</cp:lastPrinted>
  <dcterms:modified xsi:type="dcterms:W3CDTF">2000-11-10T20:43:00Z</dcterms:modified>
  <cp:revision>16</cp:revision>
  <dc:subject/>
  <dc:title>Reciprocal Confidentiality Agreement</dc:title>
</cp:coreProperties>
</file>