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t>WITHOUT PREJUDICE</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July 10, 2000</w:t>
      </w:r>
    </w:p>
    <w:p>
      <w:pPr>
        <w:pStyle w:val="Normal"/>
        <w:jc w:val="end"/>
        <w:rPr>
          <w:rFonts w:ascii="Arial" w:hAnsi="Arial" w:cs="Arial"/>
          <w:b/>
          <w:sz w:val="22"/>
        </w:rPr>
      </w:pPr>
      <w:r>
        <w:rPr>
          <w:rFonts w:cs="Arial" w:ascii="Arial" w:hAnsi="Arial"/>
          <w:b/>
          <w:sz w:val="22"/>
        </w:rPr>
        <w:t>VIA FACSIMILE</w:t>
      </w:r>
    </w:p>
    <w:p>
      <w:pPr>
        <w:pStyle w:val="Normal"/>
        <w:jc w:val="end"/>
        <w:rPr>
          <w:rFonts w:ascii="Arial" w:hAnsi="Arial" w:cs="Arial"/>
          <w:sz w:val="22"/>
        </w:rPr>
      </w:pPr>
      <w:r>
        <w:rPr>
          <w:rFonts w:cs="Arial" w:ascii="Arial" w:hAnsi="Arial"/>
          <w:sz w:val="22"/>
        </w:rPr>
        <w:t>(original via courier)</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sz w:val="22"/>
        </w:rPr>
      </w:pPr>
      <w:r>
        <w:rPr>
          <w:rFonts w:cs="Arial" w:ascii="Arial" w:hAnsi="Arial"/>
          <w:color w:val="0000FF"/>
          <w:sz w:val="22"/>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sz w:val="22"/>
        </w:rPr>
      </w:pPr>
      <w:r>
        <w:rPr>
          <w:rFonts w:cs="Arial" w:ascii="Arial" w:hAnsi="Arial"/>
          <w:color w:val="0000FF"/>
          <w:sz w:val="22"/>
        </w:rPr>
        <w:t>Petro-Canada Oil and Gas</w:t>
      </w:r>
    </w:p>
    <w:p>
      <w:pPr>
        <w:pStyle w:val="Normal"/>
        <w:tabs>
          <w:tab w:val="clear" w:pos="720"/>
          <w:tab w:val="left" w:pos="1440" w:leader="none"/>
          <w:tab w:val="left" w:pos="2160" w:leader="none"/>
          <w:tab w:val="left" w:pos="5280" w:leader="none"/>
          <w:tab w:val="left" w:pos="5472" w:leader="none"/>
          <w:tab w:val="left" w:pos="6480" w:leader="none"/>
        </w:tabs>
        <w:jc w:val="both"/>
        <w:rPr/>
      </w:pPr>
      <w:r>
        <w:rPr>
          <w:rFonts w:cs="Arial" w:ascii="Arial" w:hAnsi="Arial"/>
          <w:color w:val="0000FF"/>
          <w:sz w:val="22"/>
        </w:rPr>
        <w:t>150 – 6</w:t>
      </w:r>
      <w:r>
        <w:rPr>
          <w:rFonts w:cs="Arial" w:ascii="Arial" w:hAnsi="Arial"/>
          <w:color w:val="0000FF"/>
          <w:sz w:val="22"/>
          <w:vertAlign w:val="superscript"/>
        </w:rPr>
        <w:t>th</w:t>
      </w:r>
      <w:r>
        <w:rPr>
          <w:rFonts w:cs="Arial" w:ascii="Arial" w:hAnsi="Arial"/>
          <w:color w:val="0000FF"/>
          <w:sz w:val="22"/>
        </w:rPr>
        <w:t xml:space="preserve"> Avenue S.W.</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sz w:val="22"/>
        </w:rPr>
      </w:pPr>
      <w:r>
        <w:rPr>
          <w:rFonts w:cs="Arial" w:ascii="Arial" w:hAnsi="Arial"/>
          <w:color w:val="0000FF"/>
          <w:sz w:val="22"/>
        </w:rPr>
        <w:t>Calgary, Alberta  T2P 3E3</w:t>
      </w:r>
    </w:p>
    <w:p>
      <w:pPr>
        <w:pStyle w:val="Normal"/>
        <w:rPr>
          <w:rFonts w:ascii="Arial" w:hAnsi="Arial" w:cs="Arial"/>
          <w:color w:val="0000FF"/>
          <w:sz w:val="22"/>
        </w:rPr>
      </w:pPr>
      <w:r>
        <w:rPr>
          <w:rFonts w:cs="Arial" w:ascii="Arial" w:hAnsi="Arial"/>
          <w:color w:val="0000FF"/>
          <w:sz w:val="22"/>
        </w:rPr>
      </w:r>
    </w:p>
    <w:p>
      <w:pPr>
        <w:pStyle w:val="Normal"/>
        <w:rPr>
          <w:rFonts w:ascii="Arial" w:hAnsi="Arial" w:cs="Arial"/>
          <w:sz w:val="22"/>
        </w:rPr>
      </w:pPr>
      <w:r>
        <w:rPr>
          <w:rFonts w:cs="Arial" w:ascii="Arial" w:hAnsi="Arial"/>
          <w:sz w:val="22"/>
        </w:rPr>
        <w:t>Attention:</w:t>
        <w:tab/>
        <w:t>Heather Scott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Sirs and Mesdames:</w:t>
      </w:r>
    </w:p>
    <w:p>
      <w:pPr>
        <w:pStyle w:val="Normal"/>
        <w:rPr>
          <w:rFonts w:ascii="Arial" w:hAnsi="Arial" w:cs="Arial"/>
          <w:sz w:val="22"/>
        </w:rPr>
      </w:pPr>
      <w:r>
        <w:rPr>
          <w:rFonts w:cs="Arial" w:ascii="Arial" w:hAnsi="Arial"/>
          <w:sz w:val="22"/>
        </w:rPr>
      </w:r>
    </w:p>
    <w:p>
      <w:pPr>
        <w:pStyle w:val="Normal"/>
        <w:ind w:hanging="720" w:start="720" w:end="0"/>
        <w:jc w:val="both"/>
        <w:rPr>
          <w:rFonts w:ascii="Arial" w:hAnsi="Arial" w:cs="Arial"/>
          <w:b/>
          <w:sz w:val="22"/>
        </w:rPr>
      </w:pPr>
      <w:r>
        <w:rPr>
          <w:rFonts w:cs="Arial" w:ascii="Arial" w:hAnsi="Arial"/>
          <w:b/>
          <w:sz w:val="22"/>
        </w:rPr>
        <w:t>Re:</w:t>
        <w:tab/>
        <w:t>Master Firm Gas Purchase/Sale Agreement dated January 17, 1994, as amended and restated effective as of September 8, 1997, between Petro-Canada Oil and Gas ("PCOG") and Enron Canada Corp. (formerly, Enron Capital &amp; Trade Resources Canada Corp.) ("Enron Canada") (the "Master Physical Agreement"); and</w:t>
      </w:r>
    </w:p>
    <w:p>
      <w:pPr>
        <w:pStyle w:val="Normal"/>
        <w:ind w:hanging="720" w:start="720" w:end="0"/>
        <w:jc w:val="both"/>
        <w:rPr>
          <w:rFonts w:ascii="Arial" w:hAnsi="Arial" w:cs="Arial"/>
          <w:b/>
          <w:sz w:val="22"/>
        </w:rPr>
      </w:pPr>
      <w:r>
        <w:rPr>
          <w:rFonts w:cs="Arial" w:ascii="Arial" w:hAnsi="Arial"/>
          <w:b/>
          <w:sz w:val="22"/>
        </w:rPr>
      </w:r>
    </w:p>
    <w:p>
      <w:pPr>
        <w:pStyle w:val="Normal"/>
        <w:ind w:hanging="720" w:start="720" w:end="0"/>
        <w:jc w:val="both"/>
        <w:rPr>
          <w:rFonts w:ascii="Arial" w:hAnsi="Arial" w:cs="Arial"/>
          <w:sz w:val="22"/>
        </w:rPr>
      </w:pPr>
      <w:r>
        <w:rPr>
          <w:rFonts w:cs="Arial" w:ascii="Arial" w:hAnsi="Arial"/>
          <w:b/>
          <w:sz w:val="22"/>
        </w:rPr>
        <w:tab/>
        <w:t>ISDA Master Agreement dated May 27, 1998 between Petro-Canada and Enron Canada (the "ISDA Agreement")</w:t>
      </w:r>
    </w:p>
    <w:p>
      <w:pPr>
        <w:pStyle w:val="Normal"/>
        <w:spacing w:before="120" w:after="120"/>
        <w:jc w:val="both"/>
        <w:rPr>
          <w:rFonts w:ascii="Arial" w:hAnsi="Arial" w:cs="Arial"/>
          <w:sz w:val="22"/>
        </w:rPr>
      </w:pPr>
      <w:r>
        <w:rPr>
          <w:rFonts w:cs="Arial" w:ascii="Arial" w:hAnsi="Arial"/>
          <w:sz w:val="22"/>
        </w:rPr>
        <w:t>We are writing to you in reference to the Master Physical Agreement, all Transactions thereunder and the ISDA Agreement.  This letter is Enron Canada's formal request to PCOG for collateral pursuant to the terms of the Master Physical Agreement.  Capitalized terms which are not otherwise defined by this letter are used with the meanings given to them by the Master Physical Agreement.</w:t>
      </w:r>
    </w:p>
    <w:p>
      <w:pPr>
        <w:pStyle w:val="Normal"/>
        <w:spacing w:before="120" w:after="120"/>
        <w:jc w:val="both"/>
        <w:rPr/>
      </w:pPr>
      <w:r>
        <w:rPr>
          <w:rFonts w:cs="Arial" w:ascii="Arial" w:hAnsi="Arial"/>
          <w:sz w:val="22"/>
        </w:rPr>
        <w:t>Pursuant to subsection 10.6 of the Master Physical Agreement, PCOG is required to provide a Letter of Credit or such other collateral as may be reasonably acceptable to Enron Canada ("Alternative Collateral") for an amount equal to the Early Termination Damages PCOG would owe to Enron Canada in excess of U.S. $25 million, rounded upwards to the next U.S.$1 million.  The amount of Early Termination Damages which would be owed by PCOG to Enron Canada under the Master Physical Agreement is currently valued at U.S. $</w:t>
      </w:r>
      <w:r>
        <w:rPr>
          <w:rFonts w:eastAsia="Symbol" w:cs="Symbol" w:ascii="Symbol" w:hAnsi="Symbol"/>
          <w:sz w:val="22"/>
        </w:rPr>
        <w:sym w:font="Symbol" w:char="f0b7"/>
      </w:r>
      <w:r>
        <w:rPr>
          <w:rFonts w:cs="Arial" w:ascii="Arial" w:hAnsi="Arial"/>
          <w:sz w:val="22"/>
        </w:rPr>
        <w:t>.   Please find enclosed our calculation of such Early Termination Damages as of yesterday's date.</w:t>
      </w:r>
    </w:p>
    <w:p>
      <w:pPr>
        <w:pStyle w:val="Normal"/>
        <w:spacing w:before="120" w:after="120"/>
        <w:jc w:val="both"/>
        <w:rPr/>
      </w:pPr>
      <w:r>
        <w:rPr>
          <w:rFonts w:cs="Arial" w:ascii="Arial" w:hAnsi="Arial"/>
          <w:sz w:val="22"/>
        </w:rPr>
        <w:t>Accordingly, PCOG is required to provide Enron Canada with a Letter of Credit or Alternative Collateral in an amount not less than U.S. $</w:t>
      </w:r>
      <w:r>
        <w:rPr>
          <w:rFonts w:eastAsia="Symbol" w:cs="Symbol" w:ascii="Symbol" w:hAnsi="Symbol"/>
          <w:sz w:val="22"/>
        </w:rPr>
        <w:sym w:font="Symbol" w:char="f0b7"/>
      </w:r>
      <w:r>
        <w:rPr>
          <w:rFonts w:cs="Arial" w:ascii="Arial" w:hAnsi="Arial"/>
          <w:sz w:val="22"/>
        </w:rPr>
        <w:t xml:space="preserve"> (U.S. $</w:t>
      </w:r>
      <w:r>
        <w:rPr>
          <w:rFonts w:eastAsia="Symbol" w:cs="Symbol" w:ascii="Symbol" w:hAnsi="Symbol"/>
          <w:sz w:val="22"/>
        </w:rPr>
        <w:sym w:font="Symbol" w:char="f0b7"/>
      </w:r>
      <w:r>
        <w:rPr>
          <w:rFonts w:cs="Arial" w:ascii="Arial" w:hAnsi="Arial"/>
          <w:sz w:val="22"/>
        </w:rPr>
        <w:t xml:space="preserve"> rounded upwards to the next U.S. $1 million minus U.S. $25 million) within ten (10) Business Days of the date of this notice.</w:t>
      </w:r>
    </w:p>
    <w:p>
      <w:pPr>
        <w:pStyle w:val="Normal"/>
        <w:spacing w:before="120" w:after="120"/>
        <w:jc w:val="both"/>
        <w:rPr/>
      </w:pPr>
      <w:r>
        <w:rPr>
          <w:rFonts w:cs="Arial" w:ascii="Arial" w:hAnsi="Arial"/>
          <w:sz w:val="22"/>
        </w:rPr>
        <w:t xml:space="preserve">However, in order to more accurately reflect the trading relationships of PCOG and Petro-Canada with Enron Canada, Enron Canada, on a without prejudice basis (unless and until accepted by PCOG and Petro-Canada as hereinafter provided), hereby offers to amend the Master Physical Agreement and the ISDA Agreement such that the collateral threshold for PCOG under the Master Physical Agreement would be increased from U.S. $25 million to U.S. $45 million while the collateral threshold for Petro-Canada under the ISDA Agreement would be reduced from U.S. $25 million to U.S. $5 million.  In this regard, we have enclosed amending agreements to the Master Physical Agreement and the ISDA Agreement for review and execution on behalf of PCOG and Petro-Canada, respectively.  Provided that each of the enclosed amendments are executed on behalf of PCOG and Petro-Canada, as appropriate, and returned to Enron Canada no later than 5:00p.m. (M.D.T.) on </w:t>
      </w:r>
      <w:r>
        <w:rPr>
          <w:rFonts w:eastAsia="Symbol" w:cs="Symbol" w:ascii="Symbol" w:hAnsi="Symbol"/>
          <w:sz w:val="22"/>
        </w:rPr>
        <w:sym w:font="Symbol" w:char="f0b7"/>
      </w:r>
      <w:r>
        <w:rPr>
          <w:rFonts w:cs="Arial" w:ascii="Arial" w:hAnsi="Arial"/>
          <w:sz w:val="22"/>
        </w:rPr>
        <w:t xml:space="preserve">, July </w:t>
      </w:r>
      <w:r>
        <w:rPr>
          <w:rFonts w:eastAsia="Symbol" w:cs="Symbol" w:ascii="Symbol" w:hAnsi="Symbol"/>
          <w:sz w:val="22"/>
        </w:rPr>
        <w:sym w:font="Symbol" w:char="f0b7"/>
      </w:r>
      <w:r>
        <w:rPr>
          <w:rFonts w:cs="Arial" w:ascii="Arial" w:hAnsi="Arial"/>
          <w:sz w:val="22"/>
        </w:rPr>
        <w:t>, 2000, please be advised that Enron Canada will accept Alternative Collateral in the form of a Letter of Credit in an amount not less than U.S. $</w:t>
      </w:r>
      <w:r>
        <w:rPr>
          <w:rFonts w:eastAsia="Symbol" w:cs="Symbol" w:ascii="Symbol" w:hAnsi="Symbol"/>
          <w:sz w:val="22"/>
        </w:rPr>
        <w:sym w:font="Symbol" w:char="f0b7"/>
      </w:r>
      <w:r>
        <w:rPr>
          <w:rFonts w:cs="Arial" w:ascii="Arial" w:hAnsi="Arial"/>
          <w:sz w:val="22"/>
        </w:rPr>
        <w:t xml:space="preserve"> with respect to this request for collateral.  We have attached a form of Letter of Credit acceptable to Enron Canada for your reference.  Such Letter of Credit is to be delivered to Enron Canada within ten (10) business days of this notice.</w:t>
      </w:r>
    </w:p>
    <w:p>
      <w:pPr>
        <w:pStyle w:val="Normal"/>
        <w:spacing w:before="120" w:after="120"/>
        <w:jc w:val="both"/>
        <w:rPr>
          <w:rFonts w:ascii="Arial" w:hAnsi="Arial" w:cs="Arial"/>
          <w:sz w:val="22"/>
        </w:rPr>
      </w:pPr>
      <w:r>
        <w:rPr>
          <w:rFonts w:cs="Arial" w:ascii="Arial" w:hAnsi="Arial"/>
          <w:sz w:val="22"/>
        </w:rPr>
        <w:t>This request is without limitation or prejudice to any other rights which Enron Canada may have under or with respect to the ISDA Agreement, the Master Physical Agreement or any Transactions thereunder, including, without restriction, for any past, continuing or future Triggering Event.</w:t>
      </w:r>
    </w:p>
    <w:p>
      <w:pPr>
        <w:pStyle w:val="Normal"/>
        <w:jc w:val="both"/>
        <w:rPr>
          <w:rFonts w:ascii="Arial" w:hAnsi="Arial" w:cs="Arial"/>
          <w:sz w:val="22"/>
        </w:rPr>
      </w:pPr>
      <w:r>
        <w:rPr>
          <w:rFonts w:cs="Arial" w:ascii="Arial" w:hAnsi="Arial"/>
          <w:sz w:val="22"/>
        </w:rPr>
      </w:r>
    </w:p>
    <w:p>
      <w:pPr>
        <w:pStyle w:val="Normal"/>
        <w:ind w:start="3600" w:end="0"/>
        <w:jc w:val="both"/>
        <w:rPr>
          <w:rFonts w:ascii="Arial" w:hAnsi="Arial" w:cs="Arial"/>
          <w:sz w:val="22"/>
        </w:rPr>
      </w:pPr>
      <w:r>
        <w:rPr>
          <w:rFonts w:cs="Arial" w:ascii="Arial" w:hAnsi="Arial"/>
          <w:sz w:val="22"/>
        </w:rPr>
        <w:t>Yours truly,</w:t>
      </w:r>
    </w:p>
    <w:p>
      <w:pPr>
        <w:pStyle w:val="Normal"/>
        <w:ind w:start="3600" w:end="0"/>
        <w:jc w:val="both"/>
        <w:rPr>
          <w:rFonts w:ascii="Arial" w:hAnsi="Arial" w:cs="Arial"/>
          <w:sz w:val="22"/>
        </w:rPr>
      </w:pPr>
      <w:r>
        <w:rPr>
          <w:rFonts w:cs="Arial" w:ascii="Arial" w:hAnsi="Arial"/>
          <w:sz w:val="22"/>
        </w:rPr>
      </w:r>
    </w:p>
    <w:p>
      <w:pPr>
        <w:pStyle w:val="Normal"/>
        <w:ind w:start="3600" w:end="0"/>
        <w:jc w:val="both"/>
        <w:rPr>
          <w:rFonts w:ascii="Arial" w:hAnsi="Arial" w:cs="Arial"/>
          <w:b/>
          <w:sz w:val="22"/>
        </w:rPr>
      </w:pPr>
      <w:r>
        <w:rPr>
          <w:rFonts w:cs="Arial" w:ascii="Arial" w:hAnsi="Arial"/>
          <w:b/>
          <w:sz w:val="22"/>
        </w:rPr>
        <w:t>ENRON CANADA CORP.</w:t>
      </w:r>
    </w:p>
    <w:p>
      <w:pPr>
        <w:pStyle w:val="Normal"/>
        <w:ind w:start="3600" w:end="0"/>
        <w:jc w:val="both"/>
        <w:rPr>
          <w:rFonts w:ascii="Arial" w:hAnsi="Arial" w:cs="Arial"/>
          <w:b/>
          <w:sz w:val="22"/>
        </w:rPr>
      </w:pPr>
      <w:r>
        <w:rPr>
          <w:rFonts w:cs="Arial" w:ascii="Arial" w:hAnsi="Arial"/>
          <w:b/>
          <w:sz w:val="22"/>
        </w:rPr>
      </w:r>
    </w:p>
    <w:p>
      <w:pPr>
        <w:pStyle w:val="Normal"/>
        <w:ind w:start="3600" w:end="0"/>
        <w:jc w:val="both"/>
        <w:rPr>
          <w:rFonts w:ascii="Arial" w:hAnsi="Arial" w:cs="Arial"/>
          <w:sz w:val="22"/>
        </w:rPr>
      </w:pPr>
      <w:r>
        <w:rPr>
          <w:rFonts w:cs="Arial" w:ascii="Arial" w:hAnsi="Arial"/>
          <w:sz w:val="22"/>
        </w:rPr>
      </w:r>
    </w:p>
    <w:p>
      <w:pPr>
        <w:pStyle w:val="Normal"/>
        <w:ind w:start="3600" w:end="0"/>
        <w:jc w:val="both"/>
        <w:rPr>
          <w:rFonts w:ascii="Arial" w:hAnsi="Arial" w:cs="Arial"/>
          <w:sz w:val="22"/>
        </w:rPr>
      </w:pPr>
      <w:r>
        <w:rPr>
          <w:rFonts w:cs="Arial" w:ascii="Arial" w:hAnsi="Arial"/>
          <w:sz w:val="22"/>
        </w:rPr>
      </w:r>
    </w:p>
    <w:p>
      <w:pPr>
        <w:pStyle w:val="Normal"/>
        <w:ind w:start="3600" w:end="0"/>
        <w:jc w:val="both"/>
        <w:rPr>
          <w:rFonts w:ascii="Arial" w:hAnsi="Arial" w:cs="Arial"/>
          <w:sz w:val="22"/>
        </w:rPr>
      </w:pPr>
      <w:r>
        <w:rPr>
          <w:rFonts w:cs="Arial" w:ascii="Arial" w:hAnsi="Arial"/>
          <w:sz w:val="22"/>
        </w:rPr>
      </w:r>
    </w:p>
    <w:p>
      <w:pPr>
        <w:pStyle w:val="Normal"/>
        <w:ind w:start="3600" w:end="0"/>
        <w:jc w:val="both"/>
        <w:rPr>
          <w:rFonts w:ascii="Arial" w:hAnsi="Arial" w:cs="Arial"/>
          <w:sz w:val="22"/>
        </w:rPr>
      </w:pPr>
      <w:r>
        <w:rPr>
          <w:rFonts w:cs="Arial" w:ascii="Arial" w:hAnsi="Arial"/>
          <w:sz w:val="22"/>
        </w:rPr>
        <w:t>P. Robson Milnthorp</w:t>
      </w:r>
    </w:p>
    <w:p>
      <w:pPr>
        <w:pStyle w:val="Normal"/>
        <w:ind w:start="3600" w:end="0"/>
        <w:jc w:val="both"/>
        <w:rPr>
          <w:rFonts w:ascii="Arial" w:hAnsi="Arial" w:cs="Arial"/>
          <w:sz w:val="22"/>
        </w:rPr>
      </w:pPr>
      <w:r>
        <w:rPr>
          <w:rFonts w:cs="Arial" w:ascii="Arial" w:hAnsi="Arial"/>
          <w:sz w:val="22"/>
        </w:rPr>
        <w:t>President and Chief Executive Officer</w:t>
      </w:r>
    </w:p>
    <w:p>
      <w:pPr>
        <w:pStyle w:val="Normal"/>
        <w:ind w:start="3600" w:end="0"/>
        <w:jc w:val="both"/>
        <w:rPr>
          <w:rFonts w:ascii="Arial" w:hAnsi="Arial" w:cs="Arial"/>
          <w:sz w:val="22"/>
        </w:rPr>
      </w:pPr>
      <w:r>
        <w:rPr>
          <w:rFonts w:cs="Arial" w:ascii="Arial" w:hAnsi="Arial"/>
          <w:sz w:val="22"/>
        </w:rPr>
      </w:r>
    </w:p>
    <w:p>
      <w:pPr>
        <w:pStyle w:val="Normal"/>
        <w:jc w:val="both"/>
        <w:rPr>
          <w:rFonts w:ascii="Arial" w:hAnsi="Arial" w:cs="Arial"/>
          <w:sz w:val="18"/>
        </w:rPr>
      </w:pPr>
      <w:r>
        <w:rPr>
          <w:rFonts w:cs="Arial" w:ascii="Arial" w:hAnsi="Arial"/>
          <w:sz w:val="18"/>
        </w:rPr>
        <w:t>MSP/ls</w:t>
      </w:r>
    </w:p>
    <w:p>
      <w:pPr>
        <w:pStyle w:val="Normal"/>
        <w:ind w:hanging="360" w:start="360" w:end="0"/>
        <w:jc w:val="both"/>
        <w:rPr>
          <w:rFonts w:ascii="Arial" w:hAnsi="Arial" w:cs="Arial"/>
          <w:sz w:val="18"/>
        </w:rPr>
      </w:pPr>
      <w:r>
        <w:rPr>
          <w:rFonts w:cs="Arial" w:ascii="Arial" w:hAnsi="Arial"/>
          <w:sz w:val="18"/>
        </w:rPr>
        <w:t>c:</w:t>
        <w:tab/>
        <w:t>Bill Bradford, Director (Enron North America Corp.)</w:t>
      </w:r>
    </w:p>
    <w:p>
      <w:pPr>
        <w:pStyle w:val="Normal"/>
        <w:ind w:hanging="360" w:start="360" w:end="0"/>
        <w:jc w:val="both"/>
        <w:rPr>
          <w:rFonts w:ascii="Arial" w:hAnsi="Arial" w:cs="Arial"/>
          <w:sz w:val="18"/>
        </w:rPr>
      </w:pPr>
      <w:r>
        <w:rPr>
          <w:rFonts w:cs="Arial" w:ascii="Arial" w:hAnsi="Arial"/>
          <w:sz w:val="18"/>
        </w:rPr>
        <w:tab/>
        <w:t>John Suttle, Senior Specialist, Risk Management (Enron North America Corp.)</w:t>
      </w:r>
    </w:p>
    <w:p>
      <w:pPr>
        <w:pStyle w:val="Normal"/>
        <w:jc w:val="both"/>
        <w:rPr>
          <w:rFonts w:ascii="Arial" w:hAnsi="Arial" w:cs="Arial"/>
          <w:sz w:val="22"/>
        </w:rPr>
      </w:pPr>
      <w:r>
        <w:rPr>
          <w:rFonts w:cs="Arial" w:ascii="Arial" w:hAnsi="Arial"/>
          <w:sz w:val="22"/>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288" w:bottom="720"/>
          <w:pgNumType w:fmt="decimal"/>
          <w:formProt w:val="false"/>
          <w:titlePg/>
          <w:textDirection w:val="lrTb"/>
          <w:docGrid w:type="default" w:linePitch="360" w:charSpace="0"/>
        </w:sectPr>
        <w:pStyle w:val="Normal"/>
        <w:jc w:val="both"/>
        <w:rPr>
          <w:rFonts w:ascii="Arial" w:hAnsi="Arial" w:cs="Arial"/>
          <w:sz w:val="22"/>
        </w:rPr>
      </w:pPr>
      <w:r>
        <w:rPr>
          <w:rFonts w:cs="Arial" w:ascii="Arial" w:hAnsi="Arial"/>
          <w:sz w:val="22"/>
        </w:rPr>
      </w:r>
    </w:p>
    <w:p>
      <w:pPr>
        <w:pStyle w:val="Normal"/>
        <w:jc w:val="both"/>
        <w:rPr>
          <w:rFonts w:ascii="Arial" w:hAnsi="Arial" w:cs="Arial"/>
          <w:b/>
          <w:sz w:val="22"/>
        </w:rPr>
      </w:pPr>
      <w:r>
        <w:rPr>
          <w:rFonts w:cs="Arial" w:ascii="Arial" w:hAnsi="Arial"/>
          <w:b/>
          <w:sz w:val="22"/>
        </w:rPr>
      </w:r>
    </w:p>
    <w:p>
      <w:pPr>
        <w:pStyle w:val="Heading1"/>
        <w:ind w:hanging="0" w:start="0"/>
        <w:jc w:val="center"/>
        <w:rPr/>
      </w:pPr>
      <w:r>
        <w:rPr/>
        <w:t>[LETTERHEAD OF QUALIFIED COMMERCIAL BANK]</w:t>
      </w:r>
      <w:r>
        <w:rPr>
          <w:b w:val="false"/>
        </w:rPr>
        <w:t xml:space="preserv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22"/>
        </w:rPr>
        <w:t>July 10,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Canada Corp.</w:t>
      </w:r>
    </w:p>
    <w:p>
      <w:pPr>
        <w:pStyle w:val="Normal"/>
        <w:jc w:val="both"/>
        <w:rPr>
          <w:rFonts w:ascii="Arial" w:hAnsi="Arial" w:cs="Arial"/>
          <w:sz w:val="22"/>
        </w:rPr>
      </w:pPr>
      <w:r>
        <w:rPr>
          <w:rFonts w:cs="Arial" w:ascii="Arial" w:hAnsi="Arial"/>
          <w:sz w:val="22"/>
        </w:rPr>
        <w:t>3500 Canterra Tower</w:t>
      </w:r>
    </w:p>
    <w:p>
      <w:pPr>
        <w:pStyle w:val="Normal"/>
        <w:jc w:val="both"/>
        <w:rPr/>
      </w:pPr>
      <w:r>
        <w:rPr>
          <w:rFonts w:cs="Arial" w:ascii="Arial" w:hAnsi="Arial"/>
          <w:sz w:val="22"/>
        </w:rPr>
        <w:t>400 – 3</w:t>
      </w:r>
      <w:r>
        <w:rPr>
          <w:rFonts w:cs="Arial" w:ascii="Arial" w:hAnsi="Arial"/>
          <w:sz w:val="22"/>
          <w:vertAlign w:val="superscript"/>
        </w:rPr>
        <w:t>rd</w:t>
      </w:r>
      <w:r>
        <w:rPr>
          <w:rFonts w:cs="Arial" w:ascii="Arial" w:hAnsi="Arial"/>
          <w:sz w:val="22"/>
        </w:rPr>
        <w:t xml:space="preserve"> Avenue S.W.</w:t>
      </w:r>
    </w:p>
    <w:p>
      <w:pPr>
        <w:pStyle w:val="Normal"/>
        <w:jc w:val="both"/>
        <w:rPr>
          <w:rFonts w:ascii="Arial" w:hAnsi="Arial" w:cs="Arial"/>
          <w:sz w:val="22"/>
        </w:rPr>
      </w:pPr>
      <w:r>
        <w:rPr>
          <w:rFonts w:cs="Arial" w:ascii="Arial" w:hAnsi="Arial"/>
          <w:sz w:val="22"/>
        </w:rPr>
        <w:t>Calgary, Alberta</w:t>
      </w:r>
    </w:p>
    <w:p>
      <w:pPr>
        <w:pStyle w:val="Normal"/>
        <w:jc w:val="both"/>
        <w:rPr>
          <w:rFonts w:ascii="Arial" w:hAnsi="Arial" w:cs="Arial"/>
          <w:sz w:val="22"/>
        </w:rPr>
      </w:pPr>
      <w:r>
        <w:rPr>
          <w:rFonts w:cs="Arial" w:ascii="Arial" w:hAnsi="Arial"/>
          <w:sz w:val="22"/>
        </w:rPr>
        <w:t>T2P 4H2</w:t>
      </w:r>
    </w:p>
    <w:p>
      <w:pPr>
        <w:pStyle w:val="Normal"/>
        <w:jc w:val="both"/>
        <w:rPr>
          <w:rFonts w:ascii="Arial" w:hAnsi="Arial" w:cs="Arial"/>
          <w:sz w:val="22"/>
        </w:rPr>
      </w:pPr>
      <w:r>
        <w:rPr>
          <w:rFonts w:cs="Arial" w:ascii="Arial" w:hAnsi="Arial"/>
          <w:sz w:val="22"/>
        </w:rPr>
      </w:r>
    </w:p>
    <w:p>
      <w:pPr>
        <w:pStyle w:val="Heading1"/>
        <w:ind w:hanging="0" w:start="0"/>
        <w:rPr/>
      </w:pPr>
      <w:r>
        <w:rPr/>
        <w:t>Attn:</w:t>
        <w:tab/>
        <w:t>Peter C. M. Keohane, Assistant General Counsel and Secretary</w:t>
      </w:r>
    </w:p>
    <w:p>
      <w:pPr>
        <w:pStyle w:val="Normal"/>
        <w:jc w:val="both"/>
        <w:rPr>
          <w:rFonts w:ascii="Arial" w:hAnsi="Arial" w:cs="Arial"/>
          <w:sz w:val="22"/>
        </w:rPr>
      </w:pPr>
      <w:r>
        <w:rPr>
          <w:rFonts w:cs="Arial" w:ascii="Arial" w:hAnsi="Arial"/>
          <w:sz w:val="22"/>
        </w:rPr>
      </w:r>
    </w:p>
    <w:p>
      <w:pPr>
        <w:pStyle w:val="Heading2"/>
        <w:ind w:hanging="0" w:start="0"/>
        <w:rPr/>
      </w:pPr>
      <w:r>
        <w:rPr/>
        <w:t>Re:  Irrevocable Standby Letter of Credit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At the request of </w:t>
      </w:r>
      <w:r>
        <w:rPr>
          <w:rFonts w:cs="Arial" w:ascii="Arial" w:hAnsi="Arial"/>
          <w:b/>
          <w:sz w:val="22"/>
        </w:rPr>
        <w:t>[</w:t>
      </w:r>
      <w:r>
        <w:rPr>
          <w:rFonts w:eastAsia="Symbol" w:cs="Symbol" w:ascii="Symbol" w:hAnsi="Symbol"/>
          <w:b/>
          <w:sz w:val="22"/>
        </w:rPr>
        <w:sym w:font="Symbol" w:char="f0b7"/>
      </w:r>
      <w:r>
        <w:rPr>
          <w:rFonts w:cs="Arial" w:ascii="Arial" w:hAnsi="Arial"/>
          <w:b/>
          <w:sz w:val="22"/>
        </w:rPr>
        <w:t>]</w:t>
      </w:r>
      <w:r>
        <w:rPr>
          <w:rFonts w:cs="Arial" w:ascii="Arial" w:hAnsi="Arial"/>
          <w:sz w:val="22"/>
        </w:rPr>
        <w:t xml:space="preserve"> (our “Customer”), we hereby establish our irrevocable standby letter of credit in your favour for an amount of $</w:t>
      </w:r>
      <w:r>
        <w:rPr>
          <w:rFonts w:cs="Arial" w:ascii="Arial" w:hAnsi="Arial"/>
          <w:b/>
          <w:sz w:val="22"/>
        </w:rPr>
        <w:t>[</w:t>
      </w:r>
      <w:r>
        <w:rPr>
          <w:rFonts w:eastAsia="Symbol" w:cs="Symbol" w:ascii="Symbol" w:hAnsi="Symbol"/>
          <w:b/>
          <w:sz w:val="22"/>
        </w:rPr>
        <w:sym w:font="Symbol" w:char="f0b7"/>
      </w:r>
      <w:r>
        <w:rPr>
          <w:rFonts w:cs="Arial" w:ascii="Arial" w:hAnsi="Arial"/>
          <w:b/>
          <w:sz w:val="22"/>
        </w:rPr>
        <w:t>]</w:t>
      </w:r>
      <w:r>
        <w:rPr>
          <w:rFonts w:cs="Arial" w:ascii="Arial" w:hAnsi="Arial"/>
          <w:sz w:val="22"/>
        </w:rPr>
        <w:t xml:space="preserve"> available to you against presentation of the under-mentioned original documents:</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a dated statement purportedly signed by an officer of Enron Canada Corp. stating that, “The amount claimed is payable to Enron Canada Corp. and remains unpaid”; and</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the present standby letter of credit.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Except as otherwise specified herein, this standby letter of credit will expire on </w:t>
      </w:r>
      <w:r>
        <w:rPr>
          <w:rFonts w:cs="Arial" w:ascii="Arial" w:hAnsi="Arial"/>
          <w:b/>
          <w:sz w:val="22"/>
        </w:rPr>
        <w:t>[</w:t>
      </w:r>
      <w:r>
        <w:rPr>
          <w:rFonts w:eastAsia="Symbol" w:cs="Symbol" w:ascii="Symbol" w:hAnsi="Symbol"/>
          <w:b/>
          <w:sz w:val="22"/>
        </w:rPr>
        <w:sym w:font="Symbol" w:char="f0b7"/>
      </w:r>
      <w:r>
        <w:rPr>
          <w:rFonts w:cs="Arial" w:ascii="Arial" w:hAnsi="Arial"/>
          <w:b/>
          <w:sz w:val="22"/>
        </w:rPr>
        <w:t>]</w:t>
      </w:r>
      <w:r>
        <w:rPr>
          <w:rFonts w:cs="Arial" w:ascii="Arial" w:hAnsi="Arial"/>
          <w:sz w:val="22"/>
        </w:rPr>
        <w:t>.  However, it is a condition of this letter of credit that it shall be deemed automatically extended without amendment (other than with respect to the amount of this letter of credit as contemplated herein) for one year from its expiry date or from any future expiry date, unless at least 15 days prior to any such expiry date we shall notify you by registered mail or overnight courier to the address above that we elect not to consider this letter of credit renewed for any such additional period.  In case of non-renewal you shall have the right to draw upon this letter of credit on or prior to any such expiry date, and up to the full amount outstanding by returning us the original of the letter of credit accompanied by an original declaration, purported to be signed by an officer of Enron Canada Corp. stating that the drawing is made as the letter of credit has not been renewed.  For such request, the document mentioned in paragraph 1 above will not be required.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We shall honour your demand for payment made in accordance herewith, without inquiring whether you are entitled to make such demand, notwithstanding all and any disputes or objections between you and our Customer.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This standby letter of credit is not transferable nor assignable.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Partial drawings permitted.  In the event of any partial drawing, we will:  a) note the amount of the drawing on the original of this standby letter of credit; and b) immediately return the original of this standby letter of credit directly to you.</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We hereby undertake that any claims made by you on us under our irrevocable standby letter of credit will be duly honoured on presentation of any demand presented under and in compliance with the terms and conditions of this standing letter of credit.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Any demand(s) for payment may be presented to us by courier or in person at </w:t>
      </w:r>
      <w:r>
        <w:rPr>
          <w:rFonts w:cs="Arial" w:ascii="Arial" w:hAnsi="Arial"/>
          <w:b/>
          <w:sz w:val="22"/>
        </w:rPr>
        <w:t>[•]</w:t>
      </w:r>
      <w:r>
        <w:rPr>
          <w:rFonts w:cs="Arial" w:ascii="Arial" w:hAnsi="Arial"/>
          <w:sz w:val="22"/>
        </w:rPr>
        <w:t xml:space="preserve"> or by facsimile to facsimile number </w:t>
      </w:r>
      <w:r>
        <w:rPr>
          <w:rFonts w:cs="Arial" w:ascii="Arial" w:hAnsi="Arial"/>
          <w:b/>
          <w:sz w:val="22"/>
        </w:rPr>
        <w:t>[•]</w:t>
      </w:r>
      <w:r>
        <w:rPr>
          <w:rFonts w:cs="Arial" w:ascii="Arial" w:hAnsi="Arial"/>
          <w:sz w:val="22"/>
        </w:rPr>
        <w:t xml:space="preserve"> and confirmed by telephone to </w:t>
      </w:r>
      <w:r>
        <w:rPr>
          <w:rFonts w:cs="Arial" w:ascii="Arial" w:hAnsi="Arial"/>
          <w:b/>
          <w:sz w:val="22"/>
        </w:rPr>
        <w:t>[•]</w:t>
      </w:r>
      <w:r>
        <w:rPr>
          <w:rFonts w:cs="Arial" w:ascii="Arial" w:hAnsi="Arial"/>
          <w:sz w:val="22"/>
        </w:rPr>
        <w:t>.  Any demand by facsimile pursuant to which a demand is made shall be considered as the operative instrument.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All correspondence and/or demands shall be addressed to </w:t>
      </w:r>
      <w:r>
        <w:rPr>
          <w:rFonts w:cs="Arial" w:ascii="Arial" w:hAnsi="Arial"/>
          <w:b/>
          <w:sz w:val="22"/>
        </w:rPr>
        <w:t>[•]</w:t>
      </w:r>
      <w:r>
        <w:rPr>
          <w:rFonts w:cs="Arial" w:ascii="Arial" w:hAnsi="Arial"/>
          <w:sz w:val="22"/>
        </w:rPr>
        <w:t xml:space="preserve"> and shall mention this standby letter of credit.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This letter of credit is subject to the “Uniform Customs and Practice for Documentary Credits” (1993 Revision) International Chamber of Commerce, Publication 500.</w:t>
      </w:r>
    </w:p>
    <w:p>
      <w:pPr>
        <w:pStyle w:val="Normal"/>
        <w:jc w:val="both"/>
        <w:rPr>
          <w:rFonts w:ascii="Arial" w:hAnsi="Arial" w:cs="Arial"/>
          <w:sz w:val="22"/>
        </w:rPr>
      </w:pPr>
      <w:r>
        <w:rPr>
          <w:rFonts w:cs="Arial" w:ascii="Arial" w:hAnsi="Arial"/>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rFonts w:ascii="Arial" w:hAnsi="Arial" w:cs="Arial"/>
                <w:b/>
                <w:sz w:val="22"/>
              </w:rPr>
            </w:pPr>
            <w:r>
              <w:rPr>
                <w:rFonts w:cs="Arial" w:ascii="Arial" w:hAnsi="Arial"/>
                <w:b/>
                <w:sz w:val="22"/>
              </w:rPr>
              <w:t>[•]</w:t>
            </w:r>
          </w:p>
          <w:p>
            <w:pPr>
              <w:pStyle w:val="Normal"/>
              <w:jc w:val="both"/>
              <w:rPr>
                <w:rFonts w:ascii="Arial" w:hAnsi="Arial" w:cs="Arial"/>
                <w:b/>
                <w:sz w:val="22"/>
              </w:rPr>
            </w:pPr>
            <w:r>
              <w:rPr>
                <w:rFonts w:cs="Arial" w:ascii="Arial" w:hAnsi="Arial"/>
                <w:b/>
                <w:sz w:val="22"/>
              </w:rPr>
            </w:r>
          </w:p>
        </w:tc>
        <w:tc>
          <w:tcPr>
            <w:tcW w:w="4788" w:type="dxa"/>
            <w:tcBorders/>
          </w:tcPr>
          <w:p>
            <w:pPr>
              <w:pStyle w:val="Normal"/>
              <w:snapToGrid w:val="false"/>
              <w:jc w:val="both"/>
              <w:rPr>
                <w:rFonts w:ascii="Arial" w:hAnsi="Arial" w:cs="Arial"/>
                <w:sz w:val="22"/>
              </w:rPr>
            </w:pPr>
            <w:r>
              <w:rPr>
                <w:rFonts w:cs="Arial" w:ascii="Arial" w:hAnsi="Arial"/>
                <w:sz w:val="22"/>
              </w:rPr>
            </w:r>
          </w:p>
        </w:tc>
      </w:tr>
      <w:tr>
        <w:trPr/>
        <w:tc>
          <w:tcPr>
            <w:tcW w:w="478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By:_________________________________</w:t>
            </w:r>
          </w:p>
          <w:p>
            <w:pPr>
              <w:pStyle w:val="Normal"/>
              <w:jc w:val="both"/>
              <w:rPr>
                <w:rFonts w:ascii="Arial" w:hAnsi="Arial" w:cs="Arial"/>
                <w:sz w:val="22"/>
              </w:rPr>
            </w:pPr>
            <w:r>
              <w:rPr>
                <w:rFonts w:cs="Arial" w:ascii="Arial" w:hAnsi="Arial"/>
                <w:sz w:val="22"/>
              </w:rPr>
              <w:t>Name:</w:t>
            </w:r>
          </w:p>
          <w:p>
            <w:pPr>
              <w:pStyle w:val="Normal"/>
              <w:jc w:val="both"/>
              <w:rPr>
                <w:rFonts w:ascii="Arial" w:hAnsi="Arial" w:cs="Arial"/>
                <w:sz w:val="22"/>
              </w:rPr>
            </w:pPr>
            <w:r>
              <w:rPr>
                <w:rFonts w:cs="Arial" w:ascii="Arial" w:hAnsi="Arial"/>
                <w:sz w:val="22"/>
              </w:rPr>
              <w:t>Title:</w:t>
            </w:r>
          </w:p>
        </w:tc>
        <w:tc>
          <w:tcPr>
            <w:tcW w:w="478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By:_________________________________</w:t>
            </w:r>
          </w:p>
          <w:p>
            <w:pPr>
              <w:pStyle w:val="Normal"/>
              <w:jc w:val="both"/>
              <w:rPr>
                <w:rFonts w:ascii="Arial" w:hAnsi="Arial" w:cs="Arial"/>
                <w:sz w:val="22"/>
              </w:rPr>
            </w:pPr>
            <w:r>
              <w:rPr>
                <w:rFonts w:cs="Arial" w:ascii="Arial" w:hAnsi="Arial"/>
                <w:sz w:val="22"/>
              </w:rPr>
              <w:t>Name:</w:t>
            </w:r>
          </w:p>
          <w:p>
            <w:pPr>
              <w:pStyle w:val="Normal"/>
              <w:jc w:val="both"/>
              <w:rPr>
                <w:rFonts w:ascii="Arial" w:hAnsi="Arial" w:cs="Arial"/>
                <w:sz w:val="22"/>
              </w:rPr>
            </w:pPr>
            <w:r>
              <w:rPr>
                <w:rFonts w:cs="Arial" w:ascii="Arial" w:hAnsi="Arial"/>
                <w:sz w:val="22"/>
              </w:rPr>
              <w:t>Title:</w:t>
            </w:r>
          </w:p>
        </w:tc>
      </w:tr>
    </w:tbl>
    <w:p>
      <w:pPr>
        <w:pStyle w:val="Normal"/>
        <w:jc w:val="both"/>
        <w:rPr>
          <w:rFonts w:ascii="Arial" w:hAnsi="Arial" w:cs="Arial"/>
          <w:sz w:val="22"/>
        </w:rPr>
      </w:pPr>
      <w:r>
        <w:rPr>
          <w:rFonts w:cs="Arial" w:ascii="Arial" w:hAnsi="Arial"/>
          <w:sz w:val="22"/>
        </w:rPr>
      </w:r>
    </w:p>
    <w:sectPr>
      <w:headerReference w:type="default" r:id="rId6"/>
      <w:headerReference w:type="first" r:id="rId7"/>
      <w:footerReference w:type="default" r:id="rId8"/>
      <w:footerReference w:type="first" r:id="rId9"/>
      <w:type w:val="nextPage"/>
      <w:pgSz w:w="12240" w:h="15840"/>
      <w:pgMar w:left="1440" w:right="1440" w:gutter="0" w:header="1440" w:top="149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altName w:val="Arial"/>
    <w:charset w:val="00" w:characterSet="windows-1252"/>
    <w:family w:val="swiss"/>
    <w:pitch w:val="variable"/>
  </w:font>
  <w:font w:name="CG Times (WN)">
    <w:altName w:val="Arial"/>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4"/>
      </w:rPr>
      <w:t>LEGAL\CONTRACT\</w:t>
    </w:r>
    <w:r>
      <w:rPr>
        <w:rFonts w:cs="Arial" w:ascii="Arial" w:hAnsi="Arial"/>
        <w:sz w:val="14"/>
      </w:rPr>
      <w:fldChar w:fldCharType="begin"/>
    </w:r>
    <w:r>
      <w:rPr>
        <w:sz w:val="14"/>
        <w:rFonts w:cs="Arial" w:ascii="Arial" w:hAnsi="Arial"/>
      </w:rPr>
      <w:instrText xml:space="preserve"> FILENAME </w:instrText>
    </w:r>
    <w:r>
      <w:rPr>
        <w:sz w:val="14"/>
        <w:rFonts w:cs="Arial" w:ascii="Arial" w:hAnsi="Arial"/>
      </w:rPr>
      <w:fldChar w:fldCharType="separate"/>
    </w:r>
    <w:r>
      <w:rPr>
        <w:sz w:val="14"/>
        <w:rFonts w:cs="Arial" w:ascii="Arial" w:hAnsi="Arial"/>
      </w:rPr>
      <w:t>Petro_Canada_Oil_and_Gas39.request_for_collateral.doc</w:t>
    </w:r>
    <w:r>
      <w:rPr>
        <w:sz w:val="14"/>
        <w:rFonts w:cs="Arial" w:ascii="Arial" w:hAnsi="Arial"/>
      </w:rPr>
      <w:fldChar w:fldCharType="end"/>
    </w:r>
    <w:r>
      <w:rPr>
        <w:rFonts w:cs="Arial" w:ascii="Arial" w:hAnsi="Arial"/>
        <w:sz w:val="14"/>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4"/>
      </w:rPr>
      <w:t>LEGAL\CONTRACT\</w:t>
    </w:r>
    <w:r>
      <w:rPr>
        <w:rFonts w:cs="Arial" w:ascii="Arial" w:hAnsi="Arial"/>
        <w:sz w:val="14"/>
      </w:rPr>
      <w:fldChar w:fldCharType="begin"/>
    </w:r>
    <w:r>
      <w:rPr>
        <w:sz w:val="14"/>
        <w:rFonts w:cs="Arial" w:ascii="Arial" w:hAnsi="Arial"/>
      </w:rPr>
      <w:instrText xml:space="preserve"> FILENAME </w:instrText>
    </w:r>
    <w:r>
      <w:rPr>
        <w:sz w:val="14"/>
        <w:rFonts w:cs="Arial" w:ascii="Arial" w:hAnsi="Arial"/>
      </w:rPr>
      <w:fldChar w:fldCharType="separate"/>
    </w:r>
    <w:r>
      <w:rPr>
        <w:sz w:val="14"/>
        <w:rFonts w:cs="Arial" w:ascii="Arial" w:hAnsi="Arial"/>
      </w:rPr>
      <w:t>Petro_Canada_Oil_and_Gas39.request_for_collateral.doc</w:t>
    </w:r>
    <w:r>
      <w:rPr>
        <w:sz w:val="14"/>
        <w:rFonts w:cs="Arial" w:ascii="Arial" w:hAnsi="Arial"/>
      </w:rPr>
      <w:fldChar w:fldCharType="end"/>
    </w:r>
    <w:r>
      <w:rPr>
        <w:rFonts w:cs="Arial" w:ascii="Arial" w:hAnsi="Arial"/>
        <w:sz w:val="14"/>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4"/>
      </w:rPr>
      <w:t>LEGAL\CONTRACT\</w:t>
    </w:r>
    <w:r>
      <w:rPr>
        <w:rFonts w:cs="Arial" w:ascii="Arial" w:hAnsi="Arial"/>
        <w:sz w:val="14"/>
      </w:rPr>
      <w:fldChar w:fldCharType="begin"/>
    </w:r>
    <w:r>
      <w:rPr>
        <w:sz w:val="14"/>
        <w:rFonts w:cs="Arial" w:ascii="Arial" w:hAnsi="Arial"/>
      </w:rPr>
      <w:instrText xml:space="preserve"> FILENAME </w:instrText>
    </w:r>
    <w:r>
      <w:rPr>
        <w:sz w:val="14"/>
        <w:rFonts w:cs="Arial" w:ascii="Arial" w:hAnsi="Arial"/>
      </w:rPr>
      <w:fldChar w:fldCharType="separate"/>
    </w:r>
    <w:r>
      <w:rPr>
        <w:sz w:val="14"/>
        <w:rFonts w:cs="Arial" w:ascii="Arial" w:hAnsi="Arial"/>
      </w:rPr>
      <w:t>Petro_Canada_Oil_and_Gas39.request_for_collateral.doc</w:t>
    </w:r>
    <w:r>
      <w:rPr>
        <w:sz w:val="14"/>
        <w:rFonts w:cs="Arial" w:ascii="Arial" w:hAnsi="Arial"/>
      </w:rPr>
      <w:fldChar w:fldCharType="end"/>
    </w:r>
    <w:r>
      <w:rPr>
        <w:rFonts w:cs="Arial" w:ascii="Arial" w:hAnsi="Arial"/>
        <w:sz w:val="14"/>
      </w:rPr>
      <w:tab/>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4"/>
      </w:rPr>
      <w:t>LEGAL\CONTRACT\</w:t>
    </w:r>
    <w:r>
      <w:rPr>
        <w:rFonts w:cs="Arial" w:ascii="Arial" w:hAnsi="Arial"/>
        <w:sz w:val="14"/>
      </w:rPr>
      <w:fldChar w:fldCharType="begin"/>
    </w:r>
    <w:r>
      <w:rPr>
        <w:sz w:val="14"/>
        <w:rFonts w:cs="Arial" w:ascii="Arial" w:hAnsi="Arial"/>
      </w:rPr>
      <w:instrText xml:space="preserve"> FILENAME </w:instrText>
    </w:r>
    <w:r>
      <w:rPr>
        <w:sz w:val="14"/>
        <w:rFonts w:cs="Arial" w:ascii="Arial" w:hAnsi="Arial"/>
      </w:rPr>
      <w:fldChar w:fldCharType="separate"/>
    </w:r>
    <w:r>
      <w:rPr>
        <w:sz w:val="14"/>
        <w:rFonts w:cs="Arial" w:ascii="Arial" w:hAnsi="Arial"/>
      </w:rPr>
      <w:t>Petro_Canada_Oil_and_Gas39.request_for_collateral.doc</w:t>
    </w:r>
    <w:r>
      <w:rPr>
        <w:sz w:val="14"/>
        <w:rFonts w:cs="Arial" w:ascii="Arial" w:hAnsi="Arial"/>
      </w:rPr>
      <w:fldChar w:fldCharType="end"/>
    </w:r>
    <w:r>
      <w:rPr>
        <w:rFonts w:cs="Arial" w:ascii="Arial" w:hAnsi="Arial"/>
        <w:sz w:val="14"/>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sz w:val="20"/>
      </w:rPr>
    </w:pPr>
    <w:r>
      <w:rPr/>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sz w:val="20"/>
      </w:rPr>
    </w:pPr>
    <w:r>
      <w:rPr/>
    </w:r>
  </w:p>
  <w:p>
    <w:pPr>
      <w:pStyle w:val="Header"/>
      <w:rPr>
        <w:rStyle w:val="PageNumber"/>
        <w:sz w:val="20"/>
      </w:rPr>
    </w:pPr>
    <w:r>
      <w:rPr/>
    </w:r>
  </w:p>
  <w:p>
    <w:pPr>
      <w:pStyle w:val="Header"/>
      <w:rPr>
        <w:rStyle w:val="PageNumber"/>
        <w:sz w:val="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Arial" w:hAnsi="Univers (WN);Arial" w:eastAsia="Times New Roman" w:cs="Univers (WN);Arial"/>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2"/>
    </w:rPr>
  </w:style>
  <w:style w:type="paragraph" w:styleId="Heading2">
    <w:name w:val="heading 2"/>
    <w:basedOn w:val="Normal"/>
    <w:next w:val="Normal"/>
    <w:qFormat/>
    <w:pPr>
      <w:keepNext w:val="true"/>
      <w:numPr>
        <w:ilvl w:val="1"/>
        <w:numId w:val="1"/>
      </w:numPr>
      <w:jc w:val="both"/>
      <w:outlineLvl w:val="1"/>
    </w:pPr>
    <w:rPr>
      <w:rFonts w:ascii="Arial" w:hAnsi="Arial" w:cs="Arial"/>
      <w:i/>
      <w:sz w:val="22"/>
      <w:u w:val="single"/>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120" w:after="120"/>
      <w:jc w:val="both"/>
    </w:pPr>
    <w:rPr>
      <w:rFonts w:ascii="Arial" w:hAnsi="Arial" w:cs="Arial"/>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2000-07-10T18:38:00Z</dcterms:created>
  <dc:creator>ncappel</dc:creator>
  <dc:description/>
  <dc:language>en-CA</dc:language>
  <cp:lastModifiedBy>Mark Powell</cp:lastModifiedBy>
  <cp:lastPrinted>2000-07-10T15:15:00Z</cp:lastPrinted>
  <dcterms:modified xsi:type="dcterms:W3CDTF">2000-07-10T18:45:00Z</dcterms:modified>
  <cp:revision>3</cp:revision>
  <dc:subject/>
  <dc:title>March 12, 1997</dc:title>
</cp:coreProperties>
</file>