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b/>
          <w:bCs/>
          <w:sz w:val="30"/>
          <w:szCs w:val="30"/>
        </w:rPr>
      </w:pPr>
      <w:r>
        <w:rPr>
          <w:b/>
          <w:bCs/>
          <w:sz w:val="30"/>
          <w:szCs w:val="30"/>
        </w:rPr>
        <w:tab/>
        <w:t>UNITED STATES OF AMERICA</w:t>
      </w:r>
    </w:p>
    <w:p>
      <w:pPr>
        <w:pStyle w:val="Normal"/>
        <w:tabs>
          <w:tab w:val="clear" w:pos="720"/>
          <w:tab w:val="center" w:pos="4680" w:leader="none"/>
        </w:tabs>
        <w:jc w:val="both"/>
        <w:rPr>
          <w:b/>
          <w:bCs/>
          <w:sz w:val="30"/>
          <w:szCs w:val="30"/>
        </w:rPr>
      </w:pPr>
      <w:r>
        <w:rPr>
          <w:b/>
          <w:bCs/>
          <w:sz w:val="30"/>
          <w:szCs w:val="30"/>
        </w:rPr>
        <w:tab/>
        <w:t>BEFORE THE</w:t>
      </w:r>
    </w:p>
    <w:p>
      <w:pPr>
        <w:pStyle w:val="Normal"/>
        <w:tabs>
          <w:tab w:val="clear" w:pos="720"/>
          <w:tab w:val="center" w:pos="4680" w:leader="none"/>
        </w:tabs>
        <w:jc w:val="both"/>
        <w:rPr>
          <w:sz w:val="28"/>
          <w:szCs w:val="28"/>
        </w:rPr>
      </w:pPr>
      <w:r>
        <w:rPr>
          <w:b/>
          <w:bCs/>
          <w:sz w:val="30"/>
          <w:szCs w:val="30"/>
        </w:rPr>
        <w:tab/>
        <w:t>FEDERAL ENERGY REGULATORY COMMISSION</w:t>
      </w:r>
    </w:p>
    <w:p>
      <w:pPr>
        <w:pStyle w:val="Normal"/>
        <w:jc w:val="both"/>
        <w:rPr>
          <w:sz w:val="29"/>
          <w:szCs w:val="29"/>
        </w:rPr>
      </w:pPr>
      <w:r>
        <w:rPr>
          <w:sz w:val="29"/>
          <w:szCs w:val="29"/>
        </w:rPr>
      </w:r>
    </w:p>
    <w:p>
      <w:pPr>
        <w:pStyle w:val="Normal"/>
        <w:jc w:val="both"/>
        <w:rPr>
          <w:sz w:val="24"/>
          <w:szCs w:val="29"/>
        </w:rPr>
      </w:pPr>
      <w:r>
        <w:rPr>
          <w:sz w:val="24"/>
          <w:szCs w:val="29"/>
        </w:rPr>
      </w:r>
    </w:p>
    <w:p>
      <w:pPr>
        <w:pStyle w:val="Normal"/>
        <w:jc w:val="both"/>
        <w:rPr>
          <w:sz w:val="24"/>
        </w:rPr>
      </w:pPr>
      <w:r>
        <w:rPr>
          <w:sz w:val="24"/>
        </w:rPr>
        <w:t>____________________________________</w:t>
      </w:r>
    </w:p>
    <w:p>
      <w:pPr>
        <w:pStyle w:val="Normal"/>
        <w:ind w:firstLine="4320" w:end="0"/>
        <w:jc w:val="both"/>
        <w:rPr>
          <w:sz w:val="24"/>
        </w:rPr>
      </w:pPr>
      <w:r>
        <w:rPr>
          <w:sz w:val="24"/>
        </w:rPr>
        <w:t>)</w:t>
      </w:r>
    </w:p>
    <w:p>
      <w:pPr>
        <w:pStyle w:val="Normal"/>
        <w:tabs>
          <w:tab w:val="clear" w:pos="720"/>
          <w:tab w:val="left" w:pos="-1440" w:leader="none"/>
        </w:tabs>
        <w:ind w:hanging="3600" w:start="3600" w:end="0"/>
        <w:jc w:val="both"/>
        <w:rPr>
          <w:sz w:val="24"/>
        </w:rPr>
      </w:pPr>
      <w:r>
        <w:rPr>
          <w:sz w:val="24"/>
        </w:rPr>
        <w:t>Proposed Rulemaking on Electric</w:t>
        <w:tab/>
        <w:tab/>
        <w:t>)</w:t>
      </w:r>
    </w:p>
    <w:p>
      <w:pPr>
        <w:pStyle w:val="Normal"/>
        <w:jc w:val="both"/>
        <w:rPr>
          <w:sz w:val="24"/>
        </w:rPr>
      </w:pPr>
      <w:r>
        <w:rPr>
          <w:sz w:val="24"/>
        </w:rPr>
        <w:t>Industry Structure, Incentives of Market</w:t>
        <w:tab/>
        <w:t>)</w:t>
        <w:tab/>
        <w:t>Docket Nos. RM95-8-000</w:t>
      </w:r>
    </w:p>
    <w:p>
      <w:pPr>
        <w:pStyle w:val="Normal"/>
        <w:tabs>
          <w:tab w:val="clear" w:pos="720"/>
          <w:tab w:val="left" w:pos="-1440" w:leader="none"/>
        </w:tabs>
        <w:ind w:hanging="5040" w:start="5040" w:end="0"/>
        <w:jc w:val="both"/>
        <w:rPr>
          <w:sz w:val="24"/>
        </w:rPr>
      </w:pPr>
      <w:r>
        <w:rPr>
          <w:sz w:val="24"/>
        </w:rPr>
        <w:t>Participants and Improved</w:t>
        <w:tab/>
        <w:tab/>
        <w:tab/>
        <w:t>)</w:t>
        <w:tab/>
        <w:t xml:space="preserve">  &amp; RM98-5</w:t>
      </w:r>
      <w:bookmarkStart w:id="0" w:name="QuickMark"/>
      <w:bookmarkEnd w:id="0"/>
      <w:r>
        <w:rPr>
          <w:sz w:val="24"/>
        </w:rPr>
        <w:t>-000</w:t>
      </w:r>
    </w:p>
    <w:p>
      <w:pPr>
        <w:pStyle w:val="Normal"/>
        <w:jc w:val="both"/>
        <w:rPr>
          <w:sz w:val="24"/>
        </w:rPr>
      </w:pPr>
      <w:r>
        <w:rPr>
          <w:sz w:val="24"/>
        </w:rPr>
        <w:t>Open-Access Commercial Practices</w:t>
        <w:tab/>
        <w:tab/>
        <w:t>)</w:t>
      </w:r>
    </w:p>
    <w:p>
      <w:pPr>
        <w:pStyle w:val="Normal"/>
        <w:jc w:val="both"/>
        <w:rPr>
          <w:b/>
          <w:bCs/>
          <w:sz w:val="24"/>
        </w:rPr>
      </w:pPr>
      <w:r>
        <w:rPr>
          <w:sz w:val="24"/>
        </w:rPr>
        <w:t>____________________________________)</w:t>
      </w:r>
    </w:p>
    <w:p>
      <w:pPr>
        <w:pStyle w:val="Normal"/>
        <w:jc w:val="both"/>
        <w:rPr>
          <w:b/>
          <w:bCs/>
          <w:sz w:val="24"/>
        </w:rPr>
      </w:pPr>
      <w:r>
        <w:rPr>
          <w:b/>
          <w:bCs/>
          <w:sz w:val="24"/>
        </w:rPr>
      </w:r>
    </w:p>
    <w:p>
      <w:pPr>
        <w:pStyle w:val="Normal"/>
        <w:ind w:firstLine="8640" w:end="0"/>
        <w:jc w:val="both"/>
        <w:rPr>
          <w:b/>
          <w:bCs/>
          <w:sz w:val="24"/>
        </w:rPr>
      </w:pPr>
      <w:r>
        <w:rPr>
          <w:b/>
          <w:bCs/>
          <w:sz w:val="24"/>
        </w:rPr>
      </w:r>
    </w:p>
    <w:p>
      <w:pPr>
        <w:pStyle w:val="Normal"/>
        <w:jc w:val="both"/>
        <w:rPr>
          <w:b/>
          <w:bCs/>
          <w:sz w:val="24"/>
        </w:rPr>
      </w:pPr>
      <w:r>
        <w:rPr>
          <w:b/>
          <w:bCs/>
          <w:sz w:val="24"/>
        </w:rPr>
      </w:r>
    </w:p>
    <w:p>
      <w:pPr>
        <w:pStyle w:val="Normal"/>
        <w:tabs>
          <w:tab w:val="clear" w:pos="720"/>
          <w:tab w:val="center" w:pos="4680" w:leader="none"/>
        </w:tabs>
        <w:jc w:val="both"/>
        <w:rPr/>
      </w:pPr>
      <w:r>
        <w:rPr>
          <w:b/>
          <w:bCs/>
          <w:sz w:val="24"/>
        </w:rPr>
        <w:tab/>
      </w:r>
      <w:r>
        <w:rPr>
          <w:b/>
          <w:bCs/>
          <w:sz w:val="30"/>
          <w:szCs w:val="30"/>
        </w:rPr>
        <w:t>PETITION</w:t>
      </w:r>
    </w:p>
    <w:p>
      <w:pPr>
        <w:pStyle w:val="Normal"/>
        <w:tabs>
          <w:tab w:val="clear" w:pos="720"/>
          <w:tab w:val="center" w:pos="4680" w:leader="none"/>
        </w:tabs>
        <w:jc w:val="both"/>
        <w:rPr>
          <w:b/>
          <w:bCs/>
          <w:sz w:val="30"/>
          <w:szCs w:val="30"/>
        </w:rPr>
      </w:pPr>
      <w:r>
        <w:rPr>
          <w:b/>
          <w:bCs/>
          <w:sz w:val="30"/>
          <w:szCs w:val="30"/>
        </w:rPr>
        <w:tab/>
        <w:t>FOR A RULEMAKING ON</w:t>
      </w:r>
    </w:p>
    <w:p>
      <w:pPr>
        <w:pStyle w:val="Normal"/>
        <w:tabs>
          <w:tab w:val="clear" w:pos="720"/>
          <w:tab w:val="center" w:pos="4680" w:leader="none"/>
        </w:tabs>
        <w:jc w:val="both"/>
        <w:rPr>
          <w:b/>
          <w:bCs/>
          <w:sz w:val="30"/>
          <w:szCs w:val="30"/>
        </w:rPr>
      </w:pPr>
      <w:r>
        <w:rPr>
          <w:b/>
          <w:bCs/>
          <w:sz w:val="30"/>
          <w:szCs w:val="30"/>
        </w:rPr>
        <w:tab/>
        <w:t xml:space="preserve">ELECTRIC POWER INDUSTRY STRUCTURE </w:t>
      </w:r>
    </w:p>
    <w:p>
      <w:pPr>
        <w:pStyle w:val="Normal"/>
        <w:tabs>
          <w:tab w:val="clear" w:pos="720"/>
          <w:tab w:val="center" w:pos="4680" w:leader="none"/>
        </w:tabs>
        <w:jc w:val="both"/>
        <w:rPr>
          <w:sz w:val="24"/>
        </w:rPr>
      </w:pPr>
      <w:r>
        <w:rPr>
          <w:b/>
          <w:bCs/>
          <w:sz w:val="30"/>
          <w:szCs w:val="30"/>
        </w:rPr>
        <w:tab/>
        <w:t>AND COMMERCIAL PRACTICES</w:t>
      </w:r>
    </w:p>
    <w:p>
      <w:pPr>
        <w:pStyle w:val="Normal"/>
        <w:tabs>
          <w:tab w:val="clear" w:pos="720"/>
          <w:tab w:val="center" w:pos="4680" w:leader="none"/>
        </w:tabs>
        <w:jc w:val="both"/>
        <w:rPr/>
      </w:pPr>
      <w:r>
        <w:rPr>
          <w:sz w:val="24"/>
        </w:rPr>
        <w:tab/>
      </w:r>
      <w:r>
        <w:rPr>
          <w:b/>
          <w:bCs/>
          <w:sz w:val="30"/>
          <w:szCs w:val="30"/>
        </w:rPr>
        <w:t>AND MOTION TO CLARIFY OR RECONSIDER CERTAIN</w:t>
      </w:r>
    </w:p>
    <w:p>
      <w:pPr>
        <w:pStyle w:val="Normal"/>
        <w:tabs>
          <w:tab w:val="clear" w:pos="720"/>
          <w:tab w:val="center" w:pos="4680" w:leader="none"/>
        </w:tabs>
        <w:jc w:val="both"/>
        <w:rPr>
          <w:sz w:val="30"/>
          <w:szCs w:val="30"/>
        </w:rPr>
      </w:pPr>
      <w:r>
        <w:rPr>
          <w:b/>
          <w:bCs/>
          <w:sz w:val="30"/>
          <w:szCs w:val="30"/>
        </w:rPr>
        <w:tab/>
        <w:t>OPEN-ACCESS COMMERCIAL PRACTICES</w:t>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both"/>
        <w:rPr>
          <w:sz w:val="24"/>
        </w:rPr>
      </w:pPr>
      <w:r>
        <w:rPr>
          <w:sz w:val="24"/>
        </w:rPr>
        <w:t>March 25, 1998</w:t>
      </w:r>
    </w:p>
    <w:p>
      <w:pPr>
        <w:pStyle w:val="Normal"/>
        <w:tabs>
          <w:tab w:val="clear" w:pos="720"/>
          <w:tab w:val="center" w:pos="4680" w:leader="none"/>
        </w:tabs>
        <w:jc w:val="both"/>
        <w:rPr>
          <w:sz w:val="30"/>
          <w:szCs w:val="30"/>
        </w:rPr>
      </w:pPr>
      <w:r>
        <w:rPr>
          <w:sz w:val="24"/>
        </w:rPr>
        <w:tab/>
      </w:r>
      <w:r>
        <w:rPr>
          <w:b/>
          <w:bCs/>
          <w:sz w:val="30"/>
          <w:szCs w:val="30"/>
          <w:u w:val="single"/>
        </w:rPr>
        <w:t>TABLE OF CONTENTS</w:t>
      </w:r>
    </w:p>
    <w:p>
      <w:pPr>
        <w:pStyle w:val="Normal"/>
        <w:jc w:val="both"/>
        <w:rPr>
          <w:sz w:val="24"/>
          <w:szCs w:val="30"/>
        </w:rPr>
      </w:pPr>
      <w:r>
        <w:rPr>
          <w:sz w:val="24"/>
          <w:szCs w:val="30"/>
        </w:rPr>
      </w:r>
    </w:p>
    <w:p>
      <w:pPr>
        <w:pStyle w:val="Normal"/>
        <w:rPr>
          <w:sz w:val="24"/>
        </w:rPr>
      </w:pPr>
      <w:r>
        <w:rPr>
          <w:sz w:val="24"/>
        </w:rPr>
      </w:r>
    </w:p>
    <w:p>
      <w:pPr>
        <w:pStyle w:val="Normal"/>
        <w:tabs>
          <w:tab w:val="clear" w:pos="720"/>
          <w:tab w:val="right" w:pos="9360" w:leader="dot"/>
        </w:tabs>
        <w:rPr>
          <w:sz w:val="24"/>
        </w:rPr>
      </w:pPr>
      <w:r>
        <w:rPr>
          <w:sz w:val="24"/>
        </w:rPr>
        <w:t>EXECUTIVE SUMMARY</w:t>
        <w:tab/>
        <w:t>1</w:t>
      </w:r>
    </w:p>
    <w:p>
      <w:pPr>
        <w:pStyle w:val="Normal"/>
        <w:tabs>
          <w:tab w:val="left" w:pos="0" w:leader="none"/>
          <w:tab w:val="left" w:pos="720" w:leader="none"/>
          <w:tab w:val="right" w:pos="9360" w:leader="dot"/>
        </w:tabs>
        <w:rPr>
          <w:sz w:val="24"/>
        </w:rPr>
      </w:pPr>
      <w:r>
        <w:rPr>
          <w:sz w:val="24"/>
        </w:rPr>
      </w:r>
    </w:p>
    <w:p>
      <w:pPr>
        <w:pStyle w:val="Normal"/>
        <w:tabs>
          <w:tab w:val="left" w:pos="0" w:leader="none"/>
          <w:tab w:val="left" w:pos="720" w:leader="none"/>
          <w:tab w:val="right" w:pos="9360" w:leader="dot"/>
        </w:tabs>
        <w:rPr>
          <w:sz w:val="24"/>
        </w:rPr>
      </w:pPr>
      <w:r>
        <w:rPr>
          <w:sz w:val="24"/>
        </w:rPr>
        <w:t>REMAINING OBSTACLES TO A COMPETITIVE POWER</w:t>
      </w:r>
    </w:p>
    <w:p>
      <w:pPr>
        <w:pStyle w:val="Normal"/>
        <w:tabs>
          <w:tab w:val="clear" w:pos="720"/>
          <w:tab w:val="right" w:pos="9360" w:leader="dot"/>
        </w:tabs>
        <w:rPr>
          <w:sz w:val="24"/>
        </w:rPr>
      </w:pPr>
      <w:r>
        <w:rPr>
          <w:sz w:val="24"/>
        </w:rPr>
        <w:t>INDUSTRY REQUIRE THE REQUESTED RULEMAKING</w:t>
        <w:tab/>
        <w:t>5</w:t>
      </w:r>
    </w:p>
    <w:p>
      <w:pPr>
        <w:pStyle w:val="Normal"/>
        <w:tabs>
          <w:tab w:val="left" w:pos="0" w:leader="none"/>
          <w:tab w:val="left" w:pos="720" w:leader="none"/>
          <w:tab w:val="right" w:pos="9360" w:leader="dot"/>
        </w:tabs>
        <w:rPr>
          <w:sz w:val="24"/>
        </w:rPr>
      </w:pPr>
      <w:r>
        <w:rPr>
          <w:sz w:val="24"/>
        </w:rPr>
      </w:r>
    </w:p>
    <w:p>
      <w:pPr>
        <w:pStyle w:val="Normal"/>
        <w:tabs>
          <w:tab w:val="clear" w:pos="720"/>
          <w:tab w:val="right" w:pos="9360" w:leader="dot"/>
        </w:tabs>
        <w:ind w:start="720" w:end="0"/>
        <w:rPr/>
      </w:pPr>
      <w:r>
        <w:rPr>
          <w:i/>
          <w:iCs/>
          <w:sz w:val="24"/>
        </w:rPr>
        <w:t>Competitive Gains in Wholesale and Retail Markets</w:t>
      </w:r>
      <w:r>
        <w:rPr>
          <w:sz w:val="24"/>
        </w:rPr>
        <w:tab/>
        <w:t>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i/>
          <w:i/>
          <w:iCs/>
          <w:sz w:val="24"/>
        </w:rPr>
      </w:pPr>
      <w:r>
        <w:rPr>
          <w:i/>
          <w:iCs/>
          <w:sz w:val="24"/>
        </w:rPr>
        <w:t>Limitations on Comparable Open Access Threaten to</w:t>
      </w:r>
    </w:p>
    <w:p>
      <w:pPr>
        <w:pStyle w:val="Normal"/>
        <w:tabs>
          <w:tab w:val="clear" w:pos="720"/>
          <w:tab w:val="right" w:pos="9360" w:leader="dot"/>
        </w:tabs>
        <w:ind w:firstLine="720" w:end="0"/>
        <w:rPr/>
      </w:pPr>
      <w:r>
        <w:rPr>
          <w:i/>
          <w:iCs/>
          <w:sz w:val="24"/>
        </w:rPr>
        <w:t>Deny Full Competition to Power Markets</w:t>
      </w:r>
      <w:r>
        <w:rPr>
          <w:sz w:val="24"/>
        </w:rPr>
        <w:tab/>
        <w:t>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A Bundled Industry that Divides Into Three Parts, Each Enjoying Different </w:t>
      </w:r>
    </w:p>
    <w:p>
      <w:pPr>
        <w:pStyle w:val="Normal"/>
        <w:tabs>
          <w:tab w:val="clear" w:pos="720"/>
          <w:tab w:val="right" w:pos="9360" w:leader="dot"/>
        </w:tabs>
        <w:ind w:firstLine="720" w:end="0"/>
        <w:rPr/>
      </w:pPr>
      <w:r>
        <w:rPr>
          <w:i/>
          <w:iCs/>
          <w:sz w:val="24"/>
        </w:rPr>
        <w:t>and Unequal Access to the Grid</w:t>
      </w:r>
      <w:r>
        <w:rPr>
          <w:sz w:val="24"/>
        </w:rPr>
        <w:tab/>
        <w:t>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 xml:space="preserve">The Choice Is between Structural Reforms that Eliminate Incentives 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i/>
          <w:i/>
          <w:iCs/>
          <w:sz w:val="24"/>
        </w:rPr>
      </w:pPr>
      <w:r>
        <w:rPr>
          <w:i/>
          <w:iCs/>
          <w:sz w:val="24"/>
        </w:rPr>
        <w:t>Discriminate and Enforcing a Growing Number of Behavioral</w:t>
      </w:r>
    </w:p>
    <w:p>
      <w:pPr>
        <w:pStyle w:val="Normal"/>
        <w:tabs>
          <w:tab w:val="clear" w:pos="720"/>
          <w:tab w:val="right" w:pos="9360" w:leader="dot"/>
        </w:tabs>
        <w:ind w:firstLine="720" w:end="0"/>
        <w:rPr/>
      </w:pPr>
      <w:r>
        <w:rPr>
          <w:i/>
          <w:iCs/>
          <w:sz w:val="24"/>
        </w:rPr>
        <w:t>Rules to Police the Incentive to Discriminate</w:t>
      </w:r>
      <w:r>
        <w:rPr>
          <w:sz w:val="24"/>
        </w:rPr>
        <w:tab/>
        <w:t>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i/>
          <w:i/>
          <w:iCs/>
          <w:sz w:val="24"/>
        </w:rPr>
      </w:pPr>
      <w:r>
        <w:rPr>
          <w:i/>
          <w:iCs/>
          <w:sz w:val="24"/>
        </w:rPr>
        <w:t>Unilateral Rules Affecting Transmission Access Are Undermining</w:t>
      </w:r>
    </w:p>
    <w:p>
      <w:pPr>
        <w:pStyle w:val="Normal"/>
        <w:tabs>
          <w:tab w:val="clear" w:pos="720"/>
          <w:tab w:val="right" w:pos="9360" w:leader="dot"/>
        </w:tabs>
        <w:ind w:firstLine="720" w:end="0"/>
        <w:rPr/>
      </w:pPr>
      <w:r>
        <w:rPr>
          <w:i/>
          <w:iCs/>
          <w:sz w:val="24"/>
        </w:rPr>
        <w:t>Nondiscriminatory Open Access</w:t>
      </w:r>
      <w:r>
        <w:rPr>
          <w:sz w:val="24"/>
        </w:rPr>
        <w:tab/>
        <w:t>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right" w:pos="9360" w:leader="dot"/>
        </w:tabs>
        <w:ind w:hanging="720" w:start="720" w:end="0"/>
        <w:rPr>
          <w:sz w:val="24"/>
        </w:rPr>
      </w:pPr>
      <w:r>
        <w:rPr>
          <w:sz w:val="24"/>
        </w:rPr>
        <w:t>FACTUAL BASIS FOR RULEMAKING</w:t>
        <w:tab/>
        <w:t>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right" w:pos="9360" w:leader="dot"/>
        </w:tabs>
        <w:ind w:hanging="720" w:start="720" w:end="0"/>
        <w:rPr>
          <w:sz w:val="24"/>
        </w:rPr>
      </w:pPr>
      <w:r>
        <w:rPr>
          <w:sz w:val="24"/>
        </w:rPr>
        <w:t>LEGAL BASIS FOR RULEMAKING</w:t>
        <w:tab/>
        <w:t>16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r>
    </w:p>
    <w:p>
      <w:pPr>
        <w:pStyle w:val="Normal"/>
        <w:tabs>
          <w:tab w:val="clear" w:pos="720"/>
          <w:tab w:val="right" w:pos="9360" w:leader="dot"/>
        </w:tabs>
        <w:ind w:hanging="720" w:start="720" w:end="0"/>
        <w:rPr>
          <w:sz w:val="24"/>
        </w:rPr>
      </w:pPr>
      <w:r>
        <w:rPr>
          <w:sz w:val="24"/>
        </w:rPr>
        <w:t xml:space="preserve">PROPOSED RULEMAKING </w:t>
        <w:tab/>
        <w:t>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0" w:leader="none"/>
          <w:tab w:val="left" w:pos="720" w:leader="none"/>
          <w:tab w:val="right" w:pos="9360" w:leader="dot"/>
        </w:tabs>
        <w:ind w:hanging="720" w:start="720" w:end="0"/>
        <w:jc w:val="both"/>
        <w:rPr>
          <w:sz w:val="24"/>
        </w:rPr>
      </w:pPr>
      <w:r>
        <w:rPr>
          <w:sz w:val="24"/>
        </w:rPr>
        <w:t>I.</w:t>
        <w:tab/>
        <w:t>EXPERIENCE IN RESTRUCTURING THE NATURAL GAS</w:t>
      </w:r>
    </w:p>
    <w:p>
      <w:pPr>
        <w:pStyle w:val="Normal"/>
        <w:tabs>
          <w:tab w:val="left" w:pos="0" w:leader="none"/>
          <w:tab w:val="left" w:pos="720" w:leader="none"/>
          <w:tab w:val="right" w:pos="9360" w:leader="dot"/>
        </w:tabs>
        <w:ind w:firstLine="720" w:end="0"/>
        <w:jc w:val="both"/>
        <w:rPr>
          <w:sz w:val="24"/>
        </w:rPr>
      </w:pPr>
      <w:r>
        <w:rPr>
          <w:sz w:val="24"/>
        </w:rPr>
        <w:t>INDUSTRY DEMONSTRATES THAT DEFERRING COMPLETE</w:t>
      </w:r>
    </w:p>
    <w:p>
      <w:pPr>
        <w:pStyle w:val="Normal"/>
        <w:tabs>
          <w:tab w:val="clear" w:pos="720"/>
          <w:tab w:val="right" w:pos="9360" w:leader="dot"/>
        </w:tabs>
        <w:ind w:firstLine="720" w:end="0"/>
        <w:jc w:val="both"/>
        <w:rPr>
          <w:sz w:val="24"/>
        </w:rPr>
      </w:pPr>
      <w:r>
        <w:rPr>
          <w:sz w:val="24"/>
        </w:rPr>
        <w:t>UNBUNDLING PERPETUATES DISCRIMINATION</w:t>
        <w:tab/>
        <w:t>17</w:t>
      </w:r>
    </w:p>
    <w:p>
      <w:pPr>
        <w:pStyle w:val="Normal"/>
        <w:tabs>
          <w:tab w:val="clear" w:pos="720"/>
          <w:tab w:val="center" w:pos="4680" w:leader="none"/>
          <w:tab w:val="right" w:pos="9360" w:leader="dot"/>
        </w:tabs>
        <w:jc w:val="both"/>
        <w:rPr>
          <w:sz w:val="24"/>
        </w:rPr>
      </w:pPr>
      <w:r>
        <w:rPr>
          <w:sz w:val="24"/>
        </w:rPr>
        <w:tab/>
      </w:r>
    </w:p>
    <w:p>
      <w:pPr>
        <w:pStyle w:val="Normal"/>
        <w:tabs>
          <w:tab w:val="left" w:pos="0" w:leader="none"/>
          <w:tab w:val="left" w:pos="720" w:leader="none"/>
          <w:tab w:val="left" w:pos="1440" w:leader="none"/>
          <w:tab w:val="right" w:pos="9360" w:leader="dot"/>
        </w:tabs>
        <w:ind w:hanging="720" w:start="1440" w:end="0"/>
        <w:jc w:val="both"/>
        <w:rPr>
          <w:i/>
          <w:i/>
          <w:iCs/>
          <w:sz w:val="24"/>
        </w:rPr>
      </w:pPr>
      <w:r>
        <w:rPr>
          <w:i/>
          <w:iCs/>
          <w:sz w:val="24"/>
        </w:rPr>
        <w:t>A.</w:t>
        <w:tab/>
        <w:t>Unbundling to Eradicate Undue Discrimination Is Needed</w:t>
      </w:r>
    </w:p>
    <w:p>
      <w:pPr>
        <w:pStyle w:val="Normal"/>
        <w:tabs>
          <w:tab w:val="left" w:pos="0" w:leader="none"/>
          <w:tab w:val="left" w:pos="720" w:leader="none"/>
          <w:tab w:val="left" w:pos="1440" w:leader="none"/>
          <w:tab w:val="right" w:pos="9360" w:leader="dot"/>
        </w:tabs>
        <w:ind w:firstLine="1440" w:end="0"/>
        <w:jc w:val="both"/>
        <w:rPr>
          <w:i/>
          <w:i/>
          <w:iCs/>
          <w:sz w:val="24"/>
        </w:rPr>
      </w:pPr>
      <w:r>
        <w:rPr>
          <w:i/>
          <w:iCs/>
          <w:sz w:val="24"/>
        </w:rPr>
        <w:t xml:space="preserve">More Acutely in the Electric Power Industry Today than It Was </w:t>
      </w:r>
    </w:p>
    <w:p>
      <w:pPr>
        <w:pStyle w:val="Normal"/>
        <w:tabs>
          <w:tab w:val="left" w:pos="0" w:leader="none"/>
          <w:tab w:val="left" w:pos="720" w:leader="none"/>
          <w:tab w:val="left" w:pos="1440" w:leader="none"/>
          <w:tab w:val="right" w:pos="9360" w:leader="dot"/>
        </w:tabs>
        <w:ind w:firstLine="1440" w:end="0"/>
        <w:jc w:val="both"/>
        <w:rPr>
          <w:i/>
          <w:i/>
          <w:iCs/>
          <w:sz w:val="24"/>
        </w:rPr>
      </w:pPr>
      <w:r>
        <w:rPr>
          <w:i/>
          <w:iCs/>
          <w:sz w:val="24"/>
        </w:rPr>
        <w:t>for the Less Integrated Natural Gas Industry before</w:t>
      </w:r>
    </w:p>
    <w:p>
      <w:pPr>
        <w:pStyle w:val="Normal"/>
        <w:tabs>
          <w:tab w:val="clear" w:pos="720"/>
          <w:tab w:val="right" w:pos="9360" w:leader="dot"/>
        </w:tabs>
        <w:ind w:firstLine="1440" w:end="0"/>
        <w:jc w:val="both"/>
        <w:rPr/>
      </w:pPr>
      <w:r>
        <w:rPr>
          <w:i/>
          <w:iCs/>
          <w:sz w:val="24"/>
        </w:rPr>
        <w:t>Order No. 636</w:t>
      </w:r>
      <w:r>
        <w:rPr>
          <w:sz w:val="24"/>
        </w:rPr>
        <w:tab/>
        <w:t>17</w:t>
      </w:r>
    </w:p>
    <w:p>
      <w:pPr>
        <w:pStyle w:val="Normal"/>
        <w:tabs>
          <w:tab w:val="left" w:pos="0" w:leader="none"/>
          <w:tab w:val="left" w:pos="720" w:leader="none"/>
          <w:tab w:val="left" w:pos="1440" w:leader="none"/>
          <w:tab w:val="right" w:pos="9360" w:leader="dot"/>
        </w:tabs>
        <w:jc w:val="both"/>
        <w:rPr>
          <w:sz w:val="24"/>
        </w:rPr>
      </w:pPr>
      <w:r>
        <w:rPr>
          <w:sz w:val="24"/>
        </w:rPr>
      </w:r>
    </w:p>
    <w:p>
      <w:pPr>
        <w:pStyle w:val="Normal"/>
        <w:tabs>
          <w:tab w:val="left" w:pos="0" w:leader="none"/>
          <w:tab w:val="left" w:pos="720" w:leader="none"/>
          <w:tab w:val="left" w:pos="1440" w:leader="none"/>
          <w:tab w:val="right" w:pos="9360" w:leader="dot"/>
        </w:tabs>
        <w:ind w:hanging="720" w:start="1440" w:end="0"/>
        <w:jc w:val="both"/>
        <w:rPr>
          <w:i/>
          <w:i/>
          <w:iCs/>
          <w:sz w:val="24"/>
        </w:rPr>
      </w:pPr>
      <w:r>
        <w:rPr>
          <w:i/>
          <w:iCs/>
          <w:sz w:val="24"/>
        </w:rPr>
        <w:t>B.</w:t>
        <w:tab/>
        <w:t>The Same Authority that the Commission Wielded under the Natural</w:t>
      </w:r>
    </w:p>
    <w:p>
      <w:pPr>
        <w:pStyle w:val="Normal"/>
        <w:tabs>
          <w:tab w:val="left" w:pos="0" w:leader="none"/>
          <w:tab w:val="left" w:pos="720" w:leader="none"/>
          <w:tab w:val="left" w:pos="1440" w:leader="none"/>
          <w:tab w:val="right" w:pos="9360" w:leader="dot"/>
        </w:tabs>
        <w:jc w:val="both"/>
        <w:rPr>
          <w:i/>
          <w:i/>
          <w:iCs/>
          <w:sz w:val="24"/>
        </w:rPr>
      </w:pPr>
      <w:r>
        <w:rPr>
          <w:rFonts w:eastAsia="Baskerville Old Face"/>
          <w:i/>
          <w:iCs/>
          <w:sz w:val="24"/>
        </w:rPr>
        <w:t xml:space="preserve">                        </w:t>
      </w:r>
      <w:r>
        <w:rPr>
          <w:i/>
          <w:iCs/>
          <w:sz w:val="24"/>
        </w:rPr>
        <w:t>Gas Act to Extend Nondiscriminatory Open Access to</w:t>
      </w:r>
    </w:p>
    <w:p>
      <w:pPr>
        <w:pStyle w:val="Normal"/>
        <w:tabs>
          <w:tab w:val="left" w:pos="0" w:leader="none"/>
          <w:tab w:val="left" w:pos="720" w:leader="none"/>
          <w:tab w:val="left" w:pos="1440" w:leader="none"/>
          <w:tab w:val="right" w:pos="9360" w:leader="dot"/>
        </w:tabs>
        <w:ind w:firstLine="1440" w:end="0"/>
        <w:jc w:val="both"/>
        <w:rPr>
          <w:i/>
          <w:i/>
          <w:iCs/>
          <w:sz w:val="24"/>
        </w:rPr>
      </w:pPr>
      <w:r>
        <w:rPr>
          <w:i/>
          <w:iCs/>
          <w:sz w:val="24"/>
        </w:rPr>
        <w:t>Fully Unbundled Transportation Service Is Equally</w:t>
      </w:r>
    </w:p>
    <w:p>
      <w:pPr>
        <w:pStyle w:val="Normal"/>
        <w:tabs>
          <w:tab w:val="left" w:pos="0" w:leader="none"/>
          <w:tab w:val="left" w:pos="720" w:leader="none"/>
          <w:tab w:val="left" w:pos="1440" w:leader="none"/>
          <w:tab w:val="right" w:pos="9360" w:leader="dot"/>
        </w:tabs>
        <w:ind w:firstLine="1440" w:end="0"/>
        <w:jc w:val="both"/>
        <w:rPr/>
      </w:pPr>
      <w:r>
        <w:rPr>
          <w:i/>
          <w:iCs/>
          <w:sz w:val="24"/>
        </w:rPr>
        <w:t xml:space="preserve">Available under the Federal Power Act </w:t>
      </w:r>
      <w:r>
        <w:rPr>
          <w:sz w:val="24"/>
        </w:rPr>
        <w:tab/>
        <w:t>19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4"/>
        </w:rPr>
      </w:pPr>
      <w:r>
        <w:rPr>
          <w:sz w:val="24"/>
        </w:rPr>
        <w:t>II.</w:t>
        <w:tab/>
        <w:t>TWO SEPARATE REGULATORY REGIMES FOR INTERSTATE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TRANSMISSION INVITE DISCRIMINATION AND AN UNLAWFUL</w:t>
      </w:r>
    </w:p>
    <w:p>
      <w:pPr>
        <w:pStyle w:val="Normal"/>
        <w:tabs>
          <w:tab w:val="clear" w:pos="720"/>
          <w:tab w:val="right" w:pos="9360" w:leader="dot"/>
        </w:tabs>
        <w:jc w:val="both"/>
        <w:rPr>
          <w:sz w:val="24"/>
        </w:rPr>
      </w:pPr>
      <w:r>
        <w:rPr>
          <w:rFonts w:eastAsia="Baskerville Old Face"/>
          <w:sz w:val="24"/>
        </w:rPr>
        <w:t xml:space="preserve">            </w:t>
      </w:r>
      <w:r>
        <w:rPr>
          <w:sz w:val="24"/>
        </w:rPr>
        <w:t>DELEGATION OF COMMISSION JURISDICTION</w:t>
        <w:tab/>
        <w:t>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r>
    </w:p>
    <w:p>
      <w:pPr>
        <w:pStyle w:val="Normal"/>
        <w:tabs>
          <w:tab w:val="left" w:pos="0" w:leader="none"/>
          <w:tab w:val="left" w:pos="720" w:leader="none"/>
          <w:tab w:val="left" w:pos="1440" w:leader="none"/>
          <w:tab w:val="right" w:pos="9360" w:leader="dot"/>
        </w:tabs>
        <w:ind w:hanging="720" w:start="1440" w:end="0"/>
        <w:jc w:val="both"/>
        <w:rPr>
          <w:i/>
          <w:i/>
          <w:iCs/>
          <w:sz w:val="24"/>
        </w:rPr>
      </w:pPr>
      <w:r>
        <w:rPr>
          <w:i/>
          <w:iCs/>
          <w:sz w:val="24"/>
        </w:rPr>
        <w:t>A.</w:t>
        <w:tab/>
        <w:t>Permitting Bundled Transmission to Escape Non-discriminatory</w:t>
      </w:r>
    </w:p>
    <w:p>
      <w:pPr>
        <w:pStyle w:val="Normal"/>
        <w:tabs>
          <w:tab w:val="left" w:pos="0" w:leader="none"/>
          <w:tab w:val="left" w:pos="720" w:leader="none"/>
          <w:tab w:val="left" w:pos="1440" w:leader="none"/>
          <w:tab w:val="right" w:pos="9360" w:leader="dot"/>
        </w:tabs>
        <w:ind w:firstLine="1440" w:end="0"/>
        <w:jc w:val="both"/>
        <w:rPr>
          <w:i/>
          <w:i/>
          <w:iCs/>
          <w:sz w:val="24"/>
        </w:rPr>
      </w:pPr>
      <w:r>
        <w:rPr>
          <w:i/>
          <w:iCs/>
          <w:sz w:val="24"/>
        </w:rPr>
        <w:t>Open-Access Is an Unwise and Unlawful Delegation</w:t>
      </w:r>
    </w:p>
    <w:p>
      <w:pPr>
        <w:pStyle w:val="Normal"/>
        <w:tabs>
          <w:tab w:val="left" w:pos="0" w:leader="none"/>
          <w:tab w:val="left" w:pos="720" w:leader="none"/>
          <w:tab w:val="left" w:pos="1440" w:leader="none"/>
          <w:tab w:val="right" w:pos="9360" w:leader="dot"/>
        </w:tabs>
        <w:ind w:firstLine="1440" w:end="0"/>
        <w:jc w:val="both"/>
        <w:rPr/>
      </w:pPr>
      <w:r>
        <w:rPr>
          <w:i/>
          <w:iCs/>
          <w:sz w:val="24"/>
        </w:rPr>
        <w:t>of Commission Jurisdiction</w:t>
      </w:r>
      <w:r>
        <w:rPr>
          <w:sz w:val="24"/>
        </w:rPr>
        <w:tab/>
        <w:t>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i/>
          <w:i/>
          <w:iCs/>
          <w:sz w:val="24"/>
        </w:rPr>
      </w:pPr>
      <w:r>
        <w:rPr>
          <w:i/>
          <w:iCs/>
          <w:sz w:val="24"/>
        </w:rPr>
        <w:t>B.</w:t>
        <w:tab/>
        <w:t>Extending Nondiscriminatory Open-Access to all Transmission</w:t>
      </w:r>
    </w:p>
    <w:p>
      <w:pPr>
        <w:pStyle w:val="Normal"/>
        <w:tabs>
          <w:tab w:val="left" w:pos="0" w:leader="none"/>
          <w:tab w:val="left" w:pos="720" w:leader="none"/>
          <w:tab w:val="left" w:pos="1440" w:leader="none"/>
          <w:tab w:val="right" w:pos="9360" w:leader="dot"/>
        </w:tabs>
        <w:ind w:hanging="720" w:start="1440" w:end="0"/>
        <w:jc w:val="both"/>
        <w:rPr>
          <w:i/>
          <w:i/>
          <w:iCs/>
          <w:sz w:val="24"/>
        </w:rPr>
      </w:pPr>
      <w:r>
        <w:rPr>
          <w:rFonts w:eastAsia="Baskerville Old Face"/>
          <w:i/>
          <w:iCs/>
          <w:sz w:val="24"/>
        </w:rPr>
        <w:t xml:space="preserve"> </w:t>
      </w:r>
      <w:r>
        <w:rPr>
          <w:i/>
          <w:iCs/>
          <w:sz w:val="24"/>
        </w:rPr>
        <w:tab/>
        <w:t>Is Consistent with Decisional Precedents and the</w:t>
      </w:r>
    </w:p>
    <w:p>
      <w:pPr>
        <w:pStyle w:val="Normal"/>
        <w:tabs>
          <w:tab w:val="left" w:pos="0" w:leader="none"/>
          <w:tab w:val="left" w:pos="720" w:leader="none"/>
          <w:tab w:val="left" w:pos="1440" w:leader="none"/>
          <w:tab w:val="right" w:pos="9360" w:leader="dot"/>
        </w:tabs>
        <w:ind w:firstLine="1440" w:end="0"/>
        <w:jc w:val="both"/>
        <w:rPr/>
      </w:pPr>
      <w:r>
        <w:rPr>
          <w:i/>
          <w:iCs/>
          <w:sz w:val="24"/>
        </w:rPr>
        <w:t>Operational Reality of the Grid</w:t>
      </w:r>
      <w:r>
        <w:rPr>
          <w:sz w:val="24"/>
        </w:rPr>
        <w:tab/>
        <w:t>22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r>
    </w:p>
    <w:p>
      <w:pPr>
        <w:pStyle w:val="Normal"/>
        <w:tabs>
          <w:tab w:val="left" w:pos="0" w:leader="none"/>
          <w:tab w:val="left" w:pos="720" w:leader="none"/>
          <w:tab w:val="left" w:pos="1440" w:leader="none"/>
          <w:tab w:val="right" w:pos="9360" w:leader="dot"/>
        </w:tabs>
        <w:ind w:hanging="720" w:start="1440" w:end="0"/>
        <w:jc w:val="both"/>
        <w:rPr>
          <w:i/>
          <w:i/>
          <w:iCs/>
          <w:sz w:val="24"/>
        </w:rPr>
      </w:pPr>
      <w:r>
        <w:rPr>
          <w:i/>
          <w:iCs/>
          <w:sz w:val="24"/>
        </w:rPr>
        <w:t>C.</w:t>
        <w:tab/>
        <w:t>The Commission Must End the Ability of Vertically Integrated</w:t>
      </w:r>
    </w:p>
    <w:p>
      <w:pPr>
        <w:pStyle w:val="Normal"/>
        <w:tabs>
          <w:tab w:val="left" w:pos="0" w:leader="none"/>
          <w:tab w:val="left" w:pos="720" w:leader="none"/>
          <w:tab w:val="left" w:pos="1440" w:leader="none"/>
          <w:tab w:val="right" w:pos="9360" w:leader="dot"/>
        </w:tabs>
        <w:ind w:firstLine="1440" w:end="0"/>
        <w:jc w:val="both"/>
        <w:rPr>
          <w:i/>
          <w:i/>
          <w:iCs/>
          <w:sz w:val="24"/>
        </w:rPr>
      </w:pPr>
      <w:r>
        <w:rPr>
          <w:i/>
          <w:iCs/>
          <w:sz w:val="24"/>
        </w:rPr>
        <w:t>Utilities to Use Native Load Privileges to Block Competitors</w:t>
      </w:r>
    </w:p>
    <w:p>
      <w:pPr>
        <w:pStyle w:val="Normal"/>
        <w:tabs>
          <w:tab w:val="left" w:pos="0" w:leader="none"/>
          <w:tab w:val="left" w:pos="720" w:leader="none"/>
          <w:tab w:val="left" w:pos="1440" w:leader="none"/>
          <w:tab w:val="right" w:pos="9360" w:leader="dot"/>
        </w:tabs>
        <w:ind w:firstLine="1440" w:end="0"/>
        <w:jc w:val="both"/>
        <w:rPr/>
      </w:pPr>
      <w:r>
        <w:rPr>
          <w:i/>
          <w:iCs/>
          <w:sz w:val="24"/>
        </w:rPr>
        <w:t>Access to the Most Valuable Segment of the Transmission Grid</w:t>
      </w:r>
      <w:r>
        <w:rPr>
          <w:sz w:val="24"/>
        </w:rPr>
        <w:tab/>
        <w:t>25</w:t>
      </w:r>
    </w:p>
    <w:p>
      <w:pPr>
        <w:pStyle w:val="Normal"/>
        <w:tabs>
          <w:tab w:val="left" w:pos="0" w:leader="none"/>
          <w:tab w:val="left" w:pos="720" w:leader="none"/>
          <w:tab w:val="left" w:pos="1440" w:leader="none"/>
          <w:tab w:val="right" w:pos="9360" w:leader="dot"/>
        </w:tabs>
        <w:jc w:val="both"/>
        <w:rPr>
          <w:sz w:val="24"/>
        </w:rPr>
      </w:pPr>
      <w:r>
        <w:rPr>
          <w:sz w:val="24"/>
        </w:rPr>
      </w:r>
    </w:p>
    <w:p>
      <w:pPr>
        <w:pStyle w:val="Normal"/>
        <w:tabs>
          <w:tab w:val="left" w:pos="0" w:leader="none"/>
          <w:tab w:val="left" w:pos="720" w:leader="none"/>
          <w:tab w:val="left" w:pos="1440" w:leader="none"/>
          <w:tab w:val="right" w:pos="9360" w:leader="dot"/>
        </w:tabs>
        <w:ind w:hanging="720" w:start="1440" w:end="0"/>
        <w:jc w:val="both"/>
        <w:rPr>
          <w:i/>
          <w:i/>
          <w:iCs/>
          <w:sz w:val="24"/>
        </w:rPr>
      </w:pPr>
      <w:r>
        <w:rPr>
          <w:i/>
          <w:iCs/>
          <w:sz w:val="24"/>
        </w:rPr>
        <w:t>D.</w:t>
        <w:tab/>
        <w:t>The Current Rule Permits (and May Invite) Regulatory Forum</w:t>
      </w:r>
    </w:p>
    <w:p>
      <w:pPr>
        <w:pStyle w:val="Normal"/>
        <w:tabs>
          <w:tab w:val="left" w:pos="0" w:leader="none"/>
          <w:tab w:val="left" w:pos="720" w:leader="none"/>
          <w:tab w:val="left" w:pos="1440" w:leader="none"/>
          <w:tab w:val="right" w:pos="9360" w:leader="dot"/>
        </w:tabs>
        <w:ind w:firstLine="1440" w:end="0"/>
        <w:jc w:val="both"/>
        <w:rPr/>
      </w:pPr>
      <w:r>
        <w:rPr>
          <w:i/>
          <w:iCs/>
          <w:sz w:val="24"/>
        </w:rPr>
        <w:t>Shopping</w:t>
      </w:r>
      <w:r>
        <w:rPr>
          <w:sz w:val="24"/>
        </w:rPr>
        <w:tab/>
        <w:t>27</w:t>
      </w:r>
    </w:p>
    <w:p>
      <w:pPr>
        <w:pStyle w:val="Normal"/>
        <w:tabs>
          <w:tab w:val="left" w:pos="0" w:leader="none"/>
          <w:tab w:val="left" w:pos="720" w:leader="none"/>
          <w:tab w:val="left" w:pos="1440" w:leader="none"/>
          <w:tab w:val="right" w:pos="9360" w:leader="dot"/>
        </w:tabs>
        <w:jc w:val="both"/>
        <w:rPr>
          <w:sz w:val="24"/>
        </w:rPr>
      </w:pPr>
      <w:r>
        <w:rPr>
          <w:sz w:val="24"/>
        </w:rPr>
      </w:r>
    </w:p>
    <w:p>
      <w:pPr>
        <w:pStyle w:val="Normal"/>
        <w:tabs>
          <w:tab w:val="left" w:pos="0" w:leader="none"/>
          <w:tab w:val="left" w:pos="720" w:leader="none"/>
          <w:tab w:val="right" w:pos="9360" w:leader="dot"/>
        </w:tabs>
        <w:ind w:hanging="720" w:start="720" w:end="0"/>
        <w:jc w:val="both"/>
        <w:rPr>
          <w:rFonts w:ascii="Times New Roman" w:hAnsi="Times New Roman" w:cs="Times New Roman"/>
          <w:sz w:val="24"/>
        </w:rPr>
      </w:pPr>
      <w:r>
        <w:rPr>
          <w:rFonts w:cs="Times New Roman" w:ascii="Times New Roman" w:hAnsi="Times New Roman"/>
          <w:sz w:val="24"/>
        </w:rPr>
        <w:t>III.</w:t>
        <w:tab/>
        <w:t>ALL TRANSMISSION SHOULD BE OFFERED PURSUANT</w:t>
      </w:r>
    </w:p>
    <w:p>
      <w:pPr>
        <w:pStyle w:val="Normal"/>
        <w:tabs>
          <w:tab w:val="clear" w:pos="720"/>
          <w:tab w:val="right" w:pos="9360" w:leader="dot"/>
        </w:tabs>
        <w:ind w:firstLine="720" w:end="0"/>
        <w:jc w:val="both"/>
        <w:rPr>
          <w:rFonts w:ascii="Times New Roman" w:hAnsi="Times New Roman" w:cs="Times New Roman"/>
          <w:sz w:val="24"/>
        </w:rPr>
      </w:pPr>
      <w:r>
        <w:rPr>
          <w:rFonts w:cs="Times New Roman" w:ascii="Times New Roman" w:hAnsi="Times New Roman"/>
          <w:sz w:val="24"/>
        </w:rPr>
        <w:t>TO THE SAME TARIFFS, RULES, AND INFORMATION SYSTEMS</w:t>
        <w:tab/>
        <w:t>28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right" w:pos="9360" w:leader="dot"/>
        </w:tabs>
        <w:ind w:hanging="720" w:start="1440" w:end="0"/>
        <w:jc w:val="both"/>
        <w:rPr>
          <w:rFonts w:ascii="Times New Roman" w:hAnsi="Times New Roman" w:cs="Times New Roman"/>
          <w:i/>
          <w:i/>
          <w:iCs/>
          <w:sz w:val="24"/>
        </w:rPr>
      </w:pPr>
      <w:r>
        <w:rPr>
          <w:rFonts w:cs="Times New Roman" w:ascii="Times New Roman" w:hAnsi="Times New Roman"/>
          <w:i/>
          <w:iCs/>
          <w:sz w:val="24"/>
        </w:rPr>
        <w:t>A.</w:t>
        <w:tab/>
        <w:t>The Commission Should Consolidate Point-to-Point and</w:t>
      </w:r>
    </w:p>
    <w:p>
      <w:pPr>
        <w:pStyle w:val="Normal"/>
        <w:tabs>
          <w:tab w:val="left" w:pos="0" w:leader="none"/>
          <w:tab w:val="left" w:pos="720" w:leader="none"/>
          <w:tab w:val="left" w:pos="1440" w:leader="none"/>
          <w:tab w:val="right" w:pos="9360" w:leader="dot"/>
        </w:tabs>
        <w:ind w:firstLine="1440" w:end="0"/>
        <w:jc w:val="both"/>
        <w:rPr>
          <w:rFonts w:ascii="Times New Roman" w:hAnsi="Times New Roman" w:cs="Times New Roman"/>
          <w:i/>
          <w:i/>
          <w:iCs/>
          <w:sz w:val="24"/>
        </w:rPr>
      </w:pPr>
      <w:r>
        <w:rPr>
          <w:rFonts w:cs="Times New Roman" w:ascii="Times New Roman" w:hAnsi="Times New Roman"/>
          <w:i/>
          <w:iCs/>
          <w:sz w:val="24"/>
        </w:rPr>
        <w:t>Network Service into a Single, Uniform Transmission Offering</w:t>
      </w:r>
    </w:p>
    <w:p>
      <w:pPr>
        <w:pStyle w:val="Normal"/>
        <w:tabs>
          <w:tab w:val="left" w:pos="0" w:leader="none"/>
          <w:tab w:val="left" w:pos="720" w:leader="none"/>
          <w:tab w:val="left" w:pos="1440" w:leader="none"/>
          <w:tab w:val="right" w:pos="9360" w:leader="dot"/>
        </w:tabs>
        <w:ind w:firstLine="1440" w:end="0"/>
        <w:jc w:val="both"/>
        <w:rPr/>
      </w:pPr>
      <w:r>
        <w:rPr>
          <w:rFonts w:cs="Times New Roman" w:ascii="Times New Roman" w:hAnsi="Times New Roman"/>
          <w:i/>
          <w:iCs/>
          <w:sz w:val="24"/>
        </w:rPr>
        <w:t>Based on Tradable Reservations</w:t>
      </w:r>
      <w:r>
        <w:rPr>
          <w:rFonts w:cs="Times New Roman" w:ascii="Times New Roman" w:hAnsi="Times New Roman"/>
          <w:sz w:val="24"/>
        </w:rPr>
        <w:tab/>
        <w:t>29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right" w:pos="9360" w:leader="dot"/>
        </w:tabs>
        <w:ind w:hanging="720" w:start="1440" w:end="0"/>
        <w:jc w:val="both"/>
        <w:rPr>
          <w:rFonts w:ascii="Times New Roman" w:hAnsi="Times New Roman" w:cs="Times New Roman"/>
          <w:i/>
          <w:i/>
          <w:iCs/>
          <w:sz w:val="24"/>
        </w:rPr>
      </w:pPr>
      <w:r>
        <w:rPr>
          <w:rFonts w:cs="Times New Roman" w:ascii="Times New Roman" w:hAnsi="Times New Roman"/>
          <w:i/>
          <w:iCs/>
          <w:sz w:val="24"/>
        </w:rPr>
        <w:t>B.</w:t>
        <w:tab/>
        <w:t>OASIS Must Become the Common Vehicle for Obtaining</w:t>
      </w:r>
    </w:p>
    <w:p>
      <w:pPr>
        <w:pStyle w:val="Normal"/>
        <w:tabs>
          <w:tab w:val="left" w:pos="0" w:leader="none"/>
          <w:tab w:val="left" w:pos="720" w:leader="none"/>
          <w:tab w:val="left" w:pos="1440" w:leader="none"/>
          <w:tab w:val="right" w:pos="9360" w:leader="dot"/>
        </w:tabs>
        <w:ind w:firstLine="1440" w:end="0"/>
        <w:jc w:val="both"/>
        <w:rPr>
          <w:rFonts w:ascii="Times New Roman" w:hAnsi="Times New Roman" w:cs="Times New Roman"/>
          <w:i/>
          <w:i/>
          <w:iCs/>
          <w:sz w:val="24"/>
        </w:rPr>
      </w:pPr>
      <w:r>
        <w:rPr>
          <w:rFonts w:cs="Times New Roman" w:ascii="Times New Roman" w:hAnsi="Times New Roman"/>
          <w:i/>
          <w:iCs/>
          <w:sz w:val="24"/>
        </w:rPr>
        <w:t>Information on, and Determining, Disseminating</w:t>
      </w:r>
    </w:p>
    <w:p>
      <w:pPr>
        <w:pStyle w:val="Normal"/>
        <w:tabs>
          <w:tab w:val="left" w:pos="0" w:leader="none"/>
          <w:tab w:val="left" w:pos="720" w:leader="none"/>
          <w:tab w:val="left" w:pos="1440" w:leader="none"/>
          <w:tab w:val="right" w:pos="9360" w:leader="dot"/>
        </w:tabs>
        <w:ind w:firstLine="1440" w:end="0"/>
        <w:jc w:val="both"/>
        <w:rPr/>
      </w:pPr>
      <w:r>
        <w:rPr>
          <w:rFonts w:cs="Times New Roman" w:ascii="Times New Roman" w:hAnsi="Times New Roman"/>
          <w:i/>
          <w:iCs/>
          <w:sz w:val="24"/>
        </w:rPr>
        <w:t>and Reserving ATC</w:t>
      </w:r>
      <w:r>
        <w:rPr>
          <w:rFonts w:cs="Times New Roman" w:ascii="Times New Roman" w:hAnsi="Times New Roman"/>
          <w:sz w:val="24"/>
        </w:rPr>
        <w:tab/>
        <w:t>34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right" w:pos="9360" w:leader="dot"/>
        </w:tabs>
        <w:ind w:hanging="720" w:start="1440" w:end="0"/>
        <w:jc w:val="both"/>
        <w:rPr>
          <w:rFonts w:ascii="Times New Roman" w:hAnsi="Times New Roman" w:cs="Times New Roman"/>
          <w:i/>
          <w:i/>
          <w:iCs/>
          <w:sz w:val="24"/>
        </w:rPr>
      </w:pPr>
      <w:r>
        <w:rPr>
          <w:rFonts w:cs="Times New Roman" w:ascii="Times New Roman" w:hAnsi="Times New Roman"/>
          <w:i/>
          <w:iCs/>
          <w:sz w:val="24"/>
        </w:rPr>
        <w:t>C.</w:t>
        <w:tab/>
        <w:t>System Operators Must Be Directed to Improve How They</w:t>
      </w:r>
    </w:p>
    <w:p>
      <w:pPr>
        <w:pStyle w:val="Normal"/>
        <w:tabs>
          <w:tab w:val="left" w:pos="0" w:leader="none"/>
          <w:tab w:val="left" w:pos="720" w:leader="none"/>
          <w:tab w:val="left" w:pos="1440" w:leader="none"/>
          <w:tab w:val="right" w:pos="9360" w:leader="dot"/>
        </w:tabs>
        <w:ind w:firstLine="1440" w:end="0"/>
        <w:jc w:val="both"/>
        <w:rPr>
          <w:rFonts w:ascii="Times New Roman" w:hAnsi="Times New Roman" w:cs="Times New Roman"/>
          <w:i/>
          <w:i/>
          <w:iCs/>
          <w:sz w:val="24"/>
        </w:rPr>
      </w:pPr>
      <w:r>
        <w:rPr>
          <w:rFonts w:cs="Times New Roman" w:ascii="Times New Roman" w:hAnsi="Times New Roman"/>
          <w:i/>
          <w:iCs/>
          <w:sz w:val="24"/>
        </w:rPr>
        <w:t>Determine Available Firm Capacity and Stop Relying on</w:t>
      </w:r>
    </w:p>
    <w:p>
      <w:pPr>
        <w:pStyle w:val="Normal"/>
        <w:tabs>
          <w:tab w:val="left" w:pos="0" w:leader="none"/>
          <w:tab w:val="left" w:pos="720" w:leader="none"/>
          <w:tab w:val="left" w:pos="1440" w:leader="none"/>
          <w:tab w:val="right" w:pos="9360" w:leader="dot"/>
        </w:tabs>
        <w:ind w:firstLine="1440" w:end="0"/>
        <w:jc w:val="both"/>
        <w:rPr/>
      </w:pPr>
      <w:r>
        <w:rPr>
          <w:rFonts w:cs="Times New Roman" w:ascii="Times New Roman" w:hAnsi="Times New Roman"/>
          <w:i/>
          <w:iCs/>
          <w:sz w:val="24"/>
        </w:rPr>
        <w:t>Curtailments to Manage Line</w:t>
      </w:r>
      <w:r>
        <w:rPr>
          <w:rFonts w:cs="Times New Roman" w:ascii="Times New Roman" w:hAnsi="Times New Roman"/>
          <w:sz w:val="24"/>
        </w:rPr>
        <w:t xml:space="preserve"> </w:t>
      </w:r>
      <w:r>
        <w:rPr>
          <w:rFonts w:cs="Times New Roman" w:ascii="Times New Roman" w:hAnsi="Times New Roman"/>
          <w:i/>
          <w:iCs/>
          <w:sz w:val="24"/>
        </w:rPr>
        <w:t>Loading</w:t>
      </w:r>
      <w:r>
        <w:rPr>
          <w:rFonts w:cs="Times New Roman" w:ascii="Times New Roman" w:hAnsi="Times New Roman"/>
          <w:sz w:val="24"/>
        </w:rPr>
        <w:tab/>
        <w:t>38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right" w:pos="9360" w:leader="dot"/>
        </w:tabs>
        <w:ind w:hanging="720" w:start="1440" w:end="0"/>
        <w:jc w:val="both"/>
        <w:rPr/>
      </w:pPr>
      <w:r>
        <w:rPr>
          <w:rFonts w:cs="Times New Roman" w:ascii="Times New Roman" w:hAnsi="Times New Roman"/>
          <w:i/>
          <w:iCs/>
          <w:sz w:val="24"/>
        </w:rPr>
        <w:t>D.</w:t>
        <w:tab/>
        <w:t>Hourly Firm Service Can and Should Be Made Mandatory</w:t>
      </w:r>
      <w:r>
        <w:rPr>
          <w:rFonts w:cs="Times New Roman" w:ascii="Times New Roman" w:hAnsi="Times New Roman"/>
          <w:sz w:val="24"/>
        </w:rPr>
        <w:tab/>
        <w:t>41</w:t>
      </w:r>
    </w:p>
    <w:p>
      <w:pPr>
        <w:pStyle w:val="Normal"/>
        <w:tabs>
          <w:tab w:val="clear" w:pos="720"/>
          <w:tab w:val="center" w:pos="4680" w:leader="none"/>
          <w:tab w:val="right" w:pos="9360" w:leader="dot"/>
        </w:tabs>
        <w:ind w:firstLine="720" w:end="0"/>
        <w:jc w:val="both"/>
        <w:rPr>
          <w:rFonts w:ascii="Times New Roman" w:hAnsi="Times New Roman" w:cs="Times New Roman"/>
          <w:sz w:val="24"/>
        </w:rPr>
      </w:pPr>
      <w:r>
        <w:rPr>
          <w:rFonts w:cs="Times New Roman" w:ascii="Times New Roman" w:hAnsi="Times New Roman"/>
          <w:sz w:val="24"/>
        </w:rPr>
        <w:tab/>
      </w:r>
    </w:p>
    <w:p>
      <w:pPr>
        <w:pStyle w:val="Normal"/>
        <w:tabs>
          <w:tab w:val="left" w:pos="0" w:leader="none"/>
          <w:tab w:val="left" w:pos="720" w:leader="none"/>
          <w:tab w:val="left" w:pos="1440" w:leader="none"/>
          <w:tab w:val="right" w:pos="9360" w:leader="dot"/>
        </w:tabs>
        <w:ind w:firstLine="720" w:end="0"/>
        <w:jc w:val="both"/>
        <w:rPr>
          <w:rFonts w:ascii="Times New Roman" w:hAnsi="Times New Roman" w:cs="Times New Roman"/>
          <w:i/>
          <w:i/>
          <w:iCs/>
          <w:sz w:val="24"/>
        </w:rPr>
      </w:pPr>
      <w:r>
        <w:rPr>
          <w:rFonts w:cs="Times New Roman" w:ascii="Times New Roman" w:hAnsi="Times New Roman"/>
          <w:i/>
          <w:iCs/>
          <w:sz w:val="24"/>
        </w:rPr>
        <w:t>E.</w:t>
        <w:tab/>
        <w:t>All Transmission Customers Should Enjoy the Same Reservation and</w:t>
      </w:r>
    </w:p>
    <w:p>
      <w:pPr>
        <w:pStyle w:val="Normal"/>
        <w:tabs>
          <w:tab w:val="left" w:pos="0" w:leader="none"/>
          <w:tab w:val="left" w:pos="720" w:leader="none"/>
          <w:tab w:val="left" w:pos="1440" w:leader="none"/>
          <w:tab w:val="right" w:pos="9360" w:leader="dot"/>
        </w:tabs>
        <w:ind w:firstLine="1440" w:end="0"/>
        <w:jc w:val="both"/>
        <w:rPr>
          <w:rFonts w:ascii="Times New Roman" w:hAnsi="Times New Roman" w:cs="Times New Roman"/>
          <w:i/>
          <w:i/>
          <w:iCs/>
          <w:sz w:val="24"/>
        </w:rPr>
      </w:pPr>
      <w:r>
        <w:rPr>
          <w:rFonts w:cs="Times New Roman" w:ascii="Times New Roman" w:hAnsi="Times New Roman"/>
          <w:i/>
          <w:iCs/>
          <w:sz w:val="24"/>
        </w:rPr>
        <w:t>Scheduling Flexibility that Vertically Integrated Utilities</w:t>
      </w:r>
    </w:p>
    <w:p>
      <w:pPr>
        <w:pStyle w:val="Normal"/>
        <w:tabs>
          <w:tab w:val="left" w:pos="0" w:leader="none"/>
          <w:tab w:val="left" w:pos="720" w:leader="none"/>
          <w:tab w:val="left" w:pos="1440" w:leader="none"/>
          <w:tab w:val="right" w:pos="9360" w:leader="dot"/>
        </w:tabs>
        <w:ind w:firstLine="1440" w:end="0"/>
        <w:jc w:val="both"/>
        <w:rPr>
          <w:sz w:val="24"/>
        </w:rPr>
      </w:pPr>
      <w:r>
        <w:rPr>
          <w:rFonts w:cs="Times New Roman" w:ascii="Times New Roman" w:hAnsi="Times New Roman"/>
          <w:i/>
          <w:iCs/>
          <w:sz w:val="24"/>
        </w:rPr>
        <w:t>Enjoy</w:t>
      </w:r>
      <w:r>
        <w:rPr>
          <w:rFonts w:cs="Times New Roman" w:ascii="Times New Roman" w:hAnsi="Times New Roman"/>
          <w:sz w:val="24"/>
        </w:rPr>
        <w:tab/>
        <w:t>43</w:t>
      </w:r>
    </w:p>
    <w:p>
      <w:pPr>
        <w:pStyle w:val="Normal"/>
        <w:tabs>
          <w:tab w:val="left" w:pos="0" w:leader="none"/>
          <w:tab w:val="left" w:pos="720" w:leader="none"/>
          <w:tab w:val="left" w:pos="1440" w:leader="none"/>
          <w:tab w:val="right" w:pos="9360" w:leader="dot"/>
        </w:tabs>
        <w:jc w:val="both"/>
        <w:rPr>
          <w:sz w:val="24"/>
        </w:rPr>
      </w:pPr>
      <w:r>
        <w:rPr>
          <w:sz w:val="24"/>
        </w:rPr>
      </w:r>
    </w:p>
    <w:p>
      <w:pPr>
        <w:pStyle w:val="Normal"/>
        <w:tabs>
          <w:tab w:val="left" w:pos="0" w:leader="none"/>
          <w:tab w:val="left" w:pos="720" w:leader="none"/>
          <w:tab w:val="left" w:pos="1440" w:leader="none"/>
          <w:tab w:val="right" w:pos="9360" w:leader="dot"/>
        </w:tabs>
        <w:jc w:val="both"/>
        <w:rPr>
          <w:sz w:val="24"/>
        </w:rPr>
      </w:pPr>
      <w:r>
        <w:rPr>
          <w:sz w:val="24"/>
        </w:rPr>
      </w:r>
    </w:p>
    <w:p>
      <w:pPr>
        <w:pStyle w:val="Normal"/>
        <w:tabs>
          <w:tab w:val="left" w:pos="0" w:leader="none"/>
          <w:tab w:val="left" w:pos="720" w:leader="none"/>
          <w:tab w:val="left" w:pos="1440" w:leader="none"/>
          <w:tab w:val="right" w:pos="9360" w:leader="dot"/>
        </w:tabs>
        <w:jc w:val="both"/>
        <w:rPr>
          <w:sz w:val="24"/>
        </w:rPr>
      </w:pPr>
      <w:r>
        <w:rPr>
          <w:sz w:val="24"/>
        </w:rPr>
      </w:r>
    </w:p>
    <w:p>
      <w:pPr>
        <w:pStyle w:val="Normal"/>
        <w:tabs>
          <w:tab w:val="left" w:pos="0" w:leader="none"/>
          <w:tab w:val="left" w:pos="720" w:leader="none"/>
          <w:tab w:val="left" w:pos="1440" w:leader="none"/>
          <w:tab w:val="right" w:pos="9360" w:leader="dot"/>
        </w:tabs>
        <w:jc w:val="both"/>
        <w:rPr>
          <w:sz w:val="24"/>
        </w:rPr>
      </w:pPr>
      <w:r>
        <w:rPr>
          <w:sz w:val="24"/>
        </w:rPr>
      </w:r>
    </w:p>
    <w:p>
      <w:pPr>
        <w:pStyle w:val="Normal"/>
        <w:tabs>
          <w:tab w:val="clear" w:pos="720"/>
          <w:tab w:val="center" w:pos="4680" w:leader="none"/>
          <w:tab w:val="right" w:pos="9360" w:leader="dot"/>
        </w:tabs>
        <w:jc w:val="both"/>
        <w:rPr>
          <w:sz w:val="24"/>
        </w:rPr>
      </w:pPr>
      <w:r>
        <w:rPr>
          <w:sz w:val="24"/>
        </w:rPr>
        <w:tab/>
      </w:r>
      <w:r>
        <w:rPr>
          <w:i/>
          <w:iCs/>
          <w:sz w:val="24"/>
        </w:rPr>
        <w:t>ii</w:t>
      </w:r>
    </w:p>
    <w:p>
      <w:pPr>
        <w:pStyle w:val="Normal"/>
        <w:tabs>
          <w:tab w:val="left" w:pos="0" w:leader="none"/>
          <w:tab w:val="left" w:pos="720" w:leader="none"/>
          <w:tab w:val="left" w:pos="1440" w:leader="none"/>
          <w:tab w:val="right" w:pos="9360" w:leader="dot"/>
        </w:tabs>
        <w:jc w:val="both"/>
        <w:rPr>
          <w:sz w:val="24"/>
        </w:rPr>
      </w:pPr>
      <w:r>
        <w:rPr>
          <w:sz w:val="24"/>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left" w:pos="1440" w:leader="none"/>
          <w:tab w:val="right" w:pos="9360" w:leader="dot"/>
        </w:tabs>
        <w:ind w:firstLine="1440" w:end="0"/>
        <w:jc w:val="both"/>
        <w:rPr>
          <w:i/>
          <w:i/>
          <w:iCs/>
          <w:sz w:val="24"/>
        </w:rPr>
      </w:pPr>
      <w:r>
        <w:rPr>
          <w:i/>
          <w:iCs/>
          <w:sz w:val="24"/>
        </w:rPr>
        <w:t>1.     Comparability requires that all transmission customers be able</w:t>
      </w:r>
    </w:p>
    <w:p>
      <w:pPr>
        <w:pStyle w:val="Normal"/>
        <w:tabs>
          <w:tab w:val="left" w:pos="0" w:leader="none"/>
          <w:tab w:val="left" w:pos="720" w:leader="none"/>
          <w:tab w:val="left" w:pos="1440" w:leader="none"/>
          <w:tab w:val="right" w:pos="9360" w:leader="dot"/>
        </w:tabs>
        <w:ind w:firstLine="1440" w:end="0"/>
        <w:jc w:val="both"/>
        <w:rPr>
          <w:i/>
          <w:i/>
          <w:iCs/>
          <w:sz w:val="24"/>
        </w:rPr>
      </w:pPr>
      <w:r>
        <w:rPr>
          <w:rFonts w:eastAsia="Baskerville Old Face"/>
          <w:i/>
          <w:iCs/>
          <w:sz w:val="24"/>
        </w:rPr>
        <w:t xml:space="preserve">        </w:t>
      </w:r>
      <w:r>
        <w:rPr>
          <w:i/>
          <w:iCs/>
          <w:sz w:val="24"/>
        </w:rPr>
        <w:t>to pool external generating resources for deliveries into the</w:t>
      </w:r>
    </w:p>
    <w:p>
      <w:pPr>
        <w:pStyle w:val="Normal"/>
        <w:tabs>
          <w:tab w:val="left" w:pos="0" w:leader="none"/>
          <w:tab w:val="left" w:pos="720" w:leader="none"/>
          <w:tab w:val="left" w:pos="1440" w:leader="none"/>
          <w:tab w:val="right" w:pos="9360" w:leader="dot"/>
        </w:tabs>
        <w:ind w:firstLine="1440" w:end="0"/>
        <w:jc w:val="both"/>
        <w:rPr/>
      </w:pPr>
      <w:r>
        <w:rPr>
          <w:rFonts w:eastAsia="Baskerville Old Face"/>
          <w:i/>
          <w:iCs/>
          <w:sz w:val="24"/>
        </w:rPr>
        <w:t xml:space="preserve">        </w:t>
      </w:r>
      <w:r>
        <w:rPr>
          <w:i/>
          <w:iCs/>
          <w:sz w:val="24"/>
        </w:rPr>
        <w:t>transmission provider’s system</w:t>
      </w:r>
      <w:r>
        <w:rPr>
          <w:rFonts w:cs="Times New Roman" w:ascii="Times New Roman" w:hAnsi="Times New Roman"/>
          <w:sz w:val="24"/>
        </w:rPr>
        <w:tab/>
        <w:t>43</w:t>
      </w:r>
    </w:p>
    <w:p>
      <w:pPr>
        <w:pStyle w:val="Normal"/>
        <w:tabs>
          <w:tab w:val="left" w:pos="0" w:leader="none"/>
          <w:tab w:val="left" w:pos="720" w:leader="none"/>
          <w:tab w:val="left" w:pos="1440" w:leader="none"/>
          <w:tab w:val="right" w:pos="9360" w:leader="dot"/>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right" w:pos="9360" w:leader="dot"/>
        </w:tabs>
        <w:ind w:firstLine="1440" w:end="0"/>
        <w:jc w:val="both"/>
        <w:rPr>
          <w:i/>
          <w:i/>
          <w:iCs/>
          <w:sz w:val="24"/>
        </w:rPr>
      </w:pPr>
      <w:r>
        <w:rPr>
          <w:i/>
          <w:iCs/>
          <w:sz w:val="24"/>
        </w:rPr>
        <w:t>2.     All transmission customers should enjoy equally the ability to</w:t>
      </w:r>
    </w:p>
    <w:p>
      <w:pPr>
        <w:pStyle w:val="Normal"/>
        <w:tabs>
          <w:tab w:val="left" w:pos="0" w:leader="none"/>
          <w:tab w:val="left" w:pos="720" w:leader="none"/>
          <w:tab w:val="left" w:pos="1440" w:leader="none"/>
          <w:tab w:val="right" w:pos="9360" w:leader="dot"/>
        </w:tabs>
        <w:ind w:firstLine="1440" w:end="0"/>
        <w:jc w:val="both"/>
        <w:rPr/>
      </w:pPr>
      <w:r>
        <w:rPr>
          <w:rFonts w:eastAsia="Baskerville Old Face"/>
          <w:i/>
          <w:iCs/>
          <w:sz w:val="24"/>
        </w:rPr>
        <w:t xml:space="preserve">        </w:t>
      </w:r>
      <w:r>
        <w:rPr>
          <w:i/>
          <w:iCs/>
          <w:sz w:val="24"/>
        </w:rPr>
        <w:t>batch multiple transactions</w:t>
      </w:r>
      <w:r>
        <w:rPr>
          <w:rFonts w:cs="Times New Roman" w:ascii="Times New Roman" w:hAnsi="Times New Roman"/>
          <w:sz w:val="24"/>
        </w:rPr>
        <w:tab/>
        <w:t>4</w:t>
      </w:r>
      <w:r>
        <w:rPr>
          <w:sz w:val="24"/>
        </w:rPr>
        <w:t>5</w:t>
      </w:r>
    </w:p>
    <w:p>
      <w:pPr>
        <w:pStyle w:val="Normal"/>
        <w:tabs>
          <w:tab w:val="left" w:pos="0" w:leader="none"/>
          <w:tab w:val="left" w:pos="720" w:leader="none"/>
          <w:tab w:val="left" w:pos="1440" w:leader="none"/>
          <w:tab w:val="right" w:pos="9360" w:leader="dot"/>
        </w:tabs>
        <w:ind w:firstLine="1440" w:end="0"/>
        <w:jc w:val="both"/>
        <w:rPr>
          <w:sz w:val="24"/>
        </w:rPr>
      </w:pPr>
      <w:r>
        <w:rPr>
          <w:sz w:val="24"/>
        </w:rPr>
      </w:r>
    </w:p>
    <w:p>
      <w:pPr>
        <w:pStyle w:val="Normal"/>
        <w:tabs>
          <w:tab w:val="left" w:pos="0" w:leader="none"/>
          <w:tab w:val="left" w:pos="720" w:leader="none"/>
          <w:tab w:val="right" w:pos="9360" w:leader="dot"/>
        </w:tabs>
        <w:ind w:hanging="720" w:start="720" w:end="720"/>
        <w:jc w:val="both"/>
        <w:rPr>
          <w:sz w:val="24"/>
        </w:rPr>
      </w:pPr>
      <w:r>
        <w:rPr>
          <w:sz w:val="24"/>
        </w:rPr>
        <w:t>IV.</w:t>
        <w:tab/>
        <w:t>CONSOLIDATION OF THE BALKANIZED GRID IS NEEDED</w:t>
      </w:r>
    </w:p>
    <w:p>
      <w:pPr>
        <w:pStyle w:val="Normal"/>
        <w:tabs>
          <w:tab w:val="clear" w:pos="720"/>
          <w:tab w:val="right" w:pos="9360" w:leader="dot"/>
        </w:tabs>
        <w:ind w:firstLine="720" w:end="0"/>
        <w:jc w:val="both"/>
        <w:rPr>
          <w:sz w:val="24"/>
        </w:rPr>
      </w:pPr>
      <w:r>
        <w:rPr>
          <w:sz w:val="24"/>
        </w:rPr>
        <w:t>TO ROOT OUT PERSISTENT DISCRIMINATION</w:t>
        <w:tab/>
        <w:t>46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right" w:pos="9360" w:leader="dot"/>
        </w:tabs>
        <w:ind w:hanging="720" w:start="720" w:end="720"/>
        <w:jc w:val="both"/>
        <w:rPr>
          <w:sz w:val="24"/>
        </w:rPr>
      </w:pPr>
      <w:r>
        <w:rPr>
          <w:sz w:val="24"/>
        </w:rPr>
        <w:t>V.</w:t>
        <w:tab/>
        <w:t>THE COMMISSION MUST ADDRESS THE REMAINING</w:t>
      </w:r>
    </w:p>
    <w:p>
      <w:pPr>
        <w:pStyle w:val="Normal"/>
        <w:tabs>
          <w:tab w:val="left" w:pos="0" w:leader="none"/>
          <w:tab w:val="left" w:pos="720" w:leader="none"/>
          <w:tab w:val="right" w:pos="9360" w:leader="dot"/>
        </w:tabs>
        <w:ind w:firstLine="720" w:end="0"/>
        <w:jc w:val="both"/>
        <w:rPr>
          <w:sz w:val="24"/>
        </w:rPr>
      </w:pPr>
      <w:r>
        <w:rPr>
          <w:sz w:val="24"/>
        </w:rPr>
        <w:t>IMPEDIMENTS TO ACHIEVING A COMMERCIAL ELECTRICITY</w:t>
      </w:r>
    </w:p>
    <w:p>
      <w:pPr>
        <w:pStyle w:val="Normal"/>
        <w:tabs>
          <w:tab w:val="left" w:pos="0" w:leader="none"/>
          <w:tab w:val="left" w:pos="720" w:leader="none"/>
          <w:tab w:val="right" w:pos="9360" w:leader="dot"/>
        </w:tabs>
        <w:ind w:firstLine="720" w:end="0"/>
        <w:jc w:val="both"/>
        <w:rPr>
          <w:sz w:val="24"/>
        </w:rPr>
      </w:pPr>
      <w:r>
        <w:rPr>
          <w:sz w:val="24"/>
        </w:rPr>
        <w:t>MARKET IN A FURTHER RULEMAKING AND NOT</w:t>
      </w:r>
    </w:p>
    <w:p>
      <w:pPr>
        <w:pStyle w:val="Normal"/>
        <w:tabs>
          <w:tab w:val="clear" w:pos="720"/>
          <w:tab w:val="right" w:pos="9360" w:leader="dot"/>
        </w:tabs>
        <w:ind w:firstLine="720" w:end="0"/>
        <w:jc w:val="both"/>
        <w:rPr>
          <w:sz w:val="24"/>
        </w:rPr>
      </w:pPr>
      <w:r>
        <w:rPr>
          <w:sz w:val="24"/>
        </w:rPr>
        <w:t>ABDICATE ITS RESPONSIBILITY TO PRIVATE  INTERESTS</w:t>
        <w:tab/>
        <w:t xml:space="preserve"> 49</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hanging="720" w:start="720" w:end="720"/>
        <w:jc w:val="both"/>
        <w:rPr>
          <w:sz w:val="24"/>
        </w:rPr>
      </w:pPr>
      <w:r>
        <w:rPr>
          <w:sz w:val="24"/>
        </w:rPr>
        <w:t>VI.</w:t>
        <w:tab/>
        <w:t>THE COMMISSION CAN TAKE IMMEDIATE STEPS TO</w:t>
      </w:r>
    </w:p>
    <w:p>
      <w:pPr>
        <w:pStyle w:val="Normal"/>
        <w:tabs>
          <w:tab w:val="left" w:pos="0" w:leader="none"/>
          <w:tab w:val="left" w:pos="720" w:leader="none"/>
          <w:tab w:val="right" w:pos="9360" w:leader="dot"/>
        </w:tabs>
        <w:ind w:firstLine="720" w:end="0"/>
        <w:jc w:val="both"/>
        <w:rPr>
          <w:sz w:val="24"/>
        </w:rPr>
      </w:pPr>
      <w:r>
        <w:rPr>
          <w:sz w:val="24"/>
        </w:rPr>
        <w:t>PROMOTE MORE EFFECTIVE COMPETITION BY CLARIFYING</w:t>
      </w:r>
    </w:p>
    <w:p>
      <w:pPr>
        <w:pStyle w:val="Normal"/>
        <w:tabs>
          <w:tab w:val="left" w:pos="0" w:leader="none"/>
          <w:tab w:val="left" w:pos="720" w:leader="none"/>
          <w:tab w:val="right" w:pos="9360" w:leader="dot"/>
        </w:tabs>
        <w:ind w:firstLine="720" w:end="0"/>
        <w:jc w:val="both"/>
        <w:rPr>
          <w:sz w:val="24"/>
        </w:rPr>
      </w:pPr>
      <w:r>
        <w:rPr>
          <w:sz w:val="24"/>
        </w:rPr>
        <w:t>OR RECONSIDERING SPECIFIC ELEMENTS OF</w:t>
      </w:r>
    </w:p>
    <w:p>
      <w:pPr>
        <w:pStyle w:val="Normal"/>
        <w:tabs>
          <w:tab w:val="clear" w:pos="720"/>
          <w:tab w:val="right" w:pos="9360" w:leader="dot"/>
        </w:tabs>
        <w:ind w:firstLine="720" w:end="0"/>
        <w:jc w:val="both"/>
        <w:rPr>
          <w:sz w:val="24"/>
        </w:rPr>
      </w:pPr>
      <w:r>
        <w:rPr>
          <w:sz w:val="24"/>
        </w:rPr>
        <w:t>THE EXISTING RULES OF OPEN ACCESS</w:t>
        <w:tab/>
        <w:t xml:space="preserve"> 53</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i/>
          <w:i/>
          <w:iCs/>
          <w:sz w:val="24"/>
        </w:rPr>
      </w:pPr>
      <w:r>
        <w:rPr>
          <w:i/>
          <w:iCs/>
          <w:sz w:val="24"/>
        </w:rPr>
        <w:t>A.     Ensuring Accurate, Timely and Complete Reporting</w:t>
      </w:r>
    </w:p>
    <w:p>
      <w:pPr>
        <w:pStyle w:val="Normal"/>
        <w:tabs>
          <w:tab w:val="left" w:pos="0" w:leader="none"/>
          <w:tab w:val="left" w:pos="720" w:leader="none"/>
          <w:tab w:val="right" w:pos="9360" w:leader="dot"/>
        </w:tabs>
        <w:ind w:firstLine="720" w:end="0"/>
        <w:jc w:val="both"/>
        <w:rPr>
          <w:sz w:val="24"/>
        </w:rPr>
      </w:pPr>
      <w:r>
        <w:rPr>
          <w:rFonts w:eastAsia="Baskerville Old Face"/>
          <w:i/>
          <w:iCs/>
          <w:sz w:val="24"/>
        </w:rPr>
        <w:t xml:space="preserve">        </w:t>
      </w:r>
      <w:r>
        <w:rPr>
          <w:i/>
          <w:iCs/>
          <w:sz w:val="24"/>
        </w:rPr>
        <w:t>of ATC and TTC</w:t>
        <w:tab/>
      </w:r>
      <w:r>
        <w:rPr>
          <w:sz w:val="24"/>
        </w:rPr>
        <w:t>54</w:t>
      </w:r>
      <w:r>
        <w:rPr>
          <w:i/>
          <w:iCs/>
          <w:sz w:val="24"/>
        </w:rPr>
        <w:tab/>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1.     Independent oversight</w:t>
      </w:r>
      <w:r>
        <w:rPr>
          <w:sz w:val="24"/>
        </w:rPr>
        <w:tab/>
        <w:t>54</w:t>
        <w:tab/>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2.     Timely reporting of insufficient ATC for nonfirm service</w:t>
      </w:r>
      <w:r>
        <w:rPr>
          <w:sz w:val="24"/>
        </w:rPr>
        <w:tab/>
        <w:t>55</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3.     Cost and timing of system impact studies</w:t>
      </w:r>
      <w:r>
        <w:rPr>
          <w:sz w:val="24"/>
        </w:rPr>
        <w:tab/>
        <w:t>55</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4.     Presumptive standards</w:t>
      </w:r>
      <w:r>
        <w:rPr>
          <w:sz w:val="24"/>
        </w:rPr>
        <w:tab/>
        <w:t>56</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5.     Post all transmission on OASIS</w:t>
      </w:r>
      <w:r>
        <w:rPr>
          <w:sz w:val="24"/>
        </w:rPr>
        <w:tab/>
        <w:t>56</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6.     Investigations and enforcement</w:t>
      </w:r>
      <w:r>
        <w:rPr>
          <w:sz w:val="24"/>
        </w:rPr>
        <w:tab/>
        <w:t>57</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7.     Effective sanctions</w:t>
      </w:r>
      <w:r>
        <w:rPr>
          <w:sz w:val="24"/>
        </w:rPr>
        <w:tab/>
        <w:t>57</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i/>
          <w:i/>
          <w:iCs/>
          <w:sz w:val="24"/>
        </w:rPr>
      </w:pPr>
      <w:r>
        <w:rPr>
          <w:i/>
          <w:iCs/>
          <w:sz w:val="24"/>
        </w:rPr>
        <w:t>B.     Plain Public Rules on Reservation, Scheduling,</w:t>
      </w:r>
    </w:p>
    <w:p>
      <w:pPr>
        <w:pStyle w:val="Normal"/>
        <w:tabs>
          <w:tab w:val="left" w:pos="0" w:leader="none"/>
          <w:tab w:val="left" w:pos="720" w:leader="none"/>
          <w:tab w:val="right" w:pos="9360" w:leader="dot"/>
        </w:tabs>
        <w:ind w:firstLine="720" w:end="0"/>
        <w:jc w:val="both"/>
        <w:rPr>
          <w:i/>
          <w:i/>
          <w:iCs/>
          <w:sz w:val="24"/>
        </w:rPr>
      </w:pPr>
      <w:r>
        <w:rPr>
          <w:rFonts w:eastAsia="Baskerville Old Face"/>
          <w:i/>
          <w:iCs/>
          <w:sz w:val="24"/>
        </w:rPr>
        <w:t xml:space="preserve">        </w:t>
      </w:r>
      <w:r>
        <w:rPr>
          <w:i/>
          <w:iCs/>
          <w:sz w:val="24"/>
        </w:rPr>
        <w:t>Tagging and Curtailment Schemes</w:t>
        <w:tab/>
      </w:r>
      <w:r>
        <w:rPr>
          <w:sz w:val="24"/>
        </w:rPr>
        <w:t>58</w:t>
      </w:r>
    </w:p>
    <w:p>
      <w:pPr>
        <w:pStyle w:val="Normal"/>
        <w:tabs>
          <w:tab w:val="left" w:pos="0" w:leader="none"/>
          <w:tab w:val="left" w:pos="720" w:leader="none"/>
          <w:tab w:val="right" w:pos="9360" w:leader="dot"/>
        </w:tabs>
        <w:jc w:val="both"/>
        <w:rPr>
          <w:i/>
          <w:i/>
          <w:iCs/>
          <w:sz w:val="24"/>
        </w:rPr>
      </w:pPr>
      <w:r>
        <w:rPr>
          <w:i/>
          <w:iCs/>
          <w:sz w:val="24"/>
        </w:rPr>
      </w:r>
    </w:p>
    <w:p>
      <w:pPr>
        <w:pStyle w:val="Normal"/>
        <w:tabs>
          <w:tab w:val="left" w:pos="0" w:leader="none"/>
          <w:tab w:val="left" w:pos="720" w:leader="none"/>
          <w:tab w:val="right" w:pos="9360" w:leader="dot"/>
        </w:tabs>
        <w:ind w:firstLine="720" w:end="0"/>
        <w:jc w:val="both"/>
        <w:rPr>
          <w:i/>
          <w:i/>
          <w:iCs/>
          <w:sz w:val="24"/>
        </w:rPr>
      </w:pPr>
      <w:r>
        <w:rPr>
          <w:i/>
          <w:iCs/>
          <w:sz w:val="24"/>
        </w:rPr>
        <w:t>C.     Improving Liquidity and Reducing Transaction Costs</w:t>
      </w:r>
    </w:p>
    <w:p>
      <w:pPr>
        <w:pStyle w:val="Normal"/>
        <w:tabs>
          <w:tab w:val="left" w:pos="0" w:leader="none"/>
          <w:tab w:val="left" w:pos="720" w:leader="none"/>
          <w:tab w:val="right" w:pos="9360" w:leader="dot"/>
        </w:tabs>
        <w:ind w:firstLine="720" w:end="0"/>
        <w:jc w:val="both"/>
        <w:rPr/>
      </w:pPr>
      <w:r>
        <w:rPr>
          <w:rFonts w:eastAsia="Baskerville Old Face"/>
          <w:i/>
          <w:iCs/>
          <w:sz w:val="24"/>
        </w:rPr>
        <w:t xml:space="preserve">        </w:t>
      </w:r>
      <w:r>
        <w:rPr>
          <w:i/>
          <w:iCs/>
          <w:sz w:val="24"/>
        </w:rPr>
        <w:t>of Firm and Nonfirm Point-to-Point Rights</w:t>
        <w:tab/>
      </w:r>
      <w:r>
        <w:rPr>
          <w:sz w:val="24"/>
        </w:rPr>
        <w:t>60</w:t>
      </w:r>
    </w:p>
    <w:p>
      <w:pPr>
        <w:pStyle w:val="Normal"/>
        <w:tabs>
          <w:tab w:val="left" w:pos="0" w:leader="none"/>
          <w:tab w:val="left" w:pos="720" w:leader="none"/>
          <w:tab w:val="right" w:pos="9360" w:leader="dot"/>
        </w:tabs>
        <w:ind w:firstLine="720" w:end="0"/>
        <w:jc w:val="both"/>
        <w:rPr>
          <w:sz w:val="24"/>
        </w:rPr>
      </w:pPr>
      <w:r>
        <w:rPr>
          <w:sz w:val="24"/>
        </w:rPr>
      </w:r>
    </w:p>
    <w:p>
      <w:pPr>
        <w:pStyle w:val="Normal"/>
        <w:tabs>
          <w:tab w:val="clear" w:pos="720"/>
          <w:tab w:val="center" w:pos="4680" w:leader="none"/>
          <w:tab w:val="right" w:pos="9360" w:leader="dot"/>
        </w:tabs>
        <w:jc w:val="both"/>
        <w:rPr>
          <w:sz w:val="24"/>
        </w:rPr>
      </w:pPr>
      <w:r>
        <w:rPr>
          <w:sz w:val="24"/>
        </w:rPr>
        <w:tab/>
      </w:r>
      <w:r>
        <w:rPr>
          <w:i/>
          <w:iCs/>
          <w:sz w:val="24"/>
        </w:rPr>
        <w:t>iii</w:t>
      </w:r>
    </w:p>
    <w:p>
      <w:pPr>
        <w:pStyle w:val="Normal"/>
        <w:tabs>
          <w:tab w:val="left" w:pos="0" w:leader="none"/>
          <w:tab w:val="left" w:pos="720" w:leader="none"/>
          <w:tab w:val="right" w:pos="9360" w:leader="dot"/>
        </w:tabs>
        <w:jc w:val="both"/>
        <w:rPr>
          <w:sz w:val="24"/>
        </w:rPr>
      </w:pPr>
      <w:r>
        <w:rPr>
          <w:sz w:val="24"/>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1.     Firm point-to-point</w:t>
      </w:r>
      <w:r>
        <w:rPr>
          <w:sz w:val="24"/>
        </w:rPr>
        <w:tab/>
        <w:t>61</w:t>
      </w:r>
    </w:p>
    <w:p>
      <w:pPr>
        <w:pStyle w:val="Normal"/>
        <w:tabs>
          <w:tab w:val="left" w:pos="0" w:leader="none"/>
          <w:tab w:val="left" w:pos="720" w:leader="none"/>
          <w:tab w:val="right" w:pos="9360" w:leader="dot"/>
        </w:tabs>
        <w:ind w:firstLine="720" w:end="0"/>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2.     Scheduling deadlines</w:t>
      </w:r>
      <w:r>
        <w:rPr>
          <w:sz w:val="24"/>
        </w:rPr>
        <w:tab/>
        <w:t>61</w:t>
      </w:r>
    </w:p>
    <w:p>
      <w:pPr>
        <w:pStyle w:val="Normal"/>
        <w:tabs>
          <w:tab w:val="clear" w:pos="720"/>
          <w:tab w:val="center" w:pos="4680" w:leader="none"/>
          <w:tab w:val="right" w:pos="9360" w:leader="dot"/>
        </w:tabs>
        <w:jc w:val="both"/>
        <w:rPr>
          <w:sz w:val="24"/>
        </w:rPr>
      </w:pPr>
      <w:r>
        <w:rPr>
          <w:sz w:val="24"/>
        </w:rPr>
        <w:tab/>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3.     Secondary interfaces</w:t>
      </w:r>
      <w:r>
        <w:rPr>
          <w:sz w:val="24"/>
        </w:rPr>
        <w:tab/>
        <w:t>62</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i/>
          <w:iCs/>
          <w:sz w:val="24"/>
        </w:rPr>
        <w:t>4.     Nonfirm service should be offered on a commodity-only basis</w:t>
      </w:r>
      <w:r>
        <w:rPr>
          <w:sz w:val="24"/>
        </w:rPr>
        <w:tab/>
        <w:t>63</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sz w:val="24"/>
        </w:rPr>
        <w:t>5.</w:t>
      </w:r>
      <w:r>
        <w:rPr>
          <w:i/>
          <w:iCs/>
          <w:sz w:val="24"/>
        </w:rPr>
        <w:t xml:space="preserve">     Bidding for and controlling nonfirm rights</w:t>
      </w:r>
      <w:r>
        <w:rPr>
          <w:sz w:val="24"/>
        </w:rPr>
        <w:tab/>
        <w:t>64</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sz w:val="24"/>
        </w:rPr>
        <w:t>6.</w:t>
      </w:r>
      <w:r>
        <w:rPr>
          <w:i/>
          <w:iCs/>
          <w:sz w:val="24"/>
        </w:rPr>
        <w:t xml:space="preserve">     Clarify rules of secondary market</w:t>
      </w:r>
      <w:r>
        <w:rPr>
          <w:sz w:val="24"/>
        </w:rPr>
        <w:tab/>
        <w:t>65</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sz w:val="24"/>
        </w:rPr>
        <w:t>7.</w:t>
      </w:r>
      <w:r>
        <w:rPr>
          <w:i/>
          <w:iCs/>
          <w:sz w:val="24"/>
        </w:rPr>
        <w:t xml:space="preserve">     Changing receipt and delivery points and source and sink</w:t>
      </w:r>
      <w:r>
        <w:rPr>
          <w:sz w:val="24"/>
        </w:rPr>
        <w:tab/>
        <w:t>65</w:t>
      </w:r>
    </w:p>
    <w:p>
      <w:pPr>
        <w:pStyle w:val="Normal"/>
        <w:tabs>
          <w:tab w:val="left" w:pos="0" w:leader="none"/>
          <w:tab w:val="left" w:pos="720" w:leader="none"/>
          <w:tab w:val="right" w:pos="9360" w:leader="dot"/>
        </w:tabs>
        <w:jc w:val="both"/>
        <w:rPr>
          <w:sz w:val="24"/>
        </w:rPr>
      </w:pPr>
      <w:r>
        <w:rPr>
          <w:sz w:val="24"/>
        </w:rPr>
      </w:r>
    </w:p>
    <w:p>
      <w:pPr>
        <w:pStyle w:val="Normal"/>
        <w:tabs>
          <w:tab w:val="left" w:pos="0" w:leader="none"/>
          <w:tab w:val="left" w:pos="720" w:leader="none"/>
          <w:tab w:val="right" w:pos="9360" w:leader="dot"/>
        </w:tabs>
        <w:ind w:firstLine="720" w:end="0"/>
        <w:jc w:val="both"/>
        <w:rPr>
          <w:rFonts w:ascii="Times New Roman" w:hAnsi="Times New Roman" w:cs="Times New Roman"/>
          <w:sz w:val="24"/>
        </w:rPr>
      </w:pPr>
      <w:r>
        <w:rPr>
          <w:rFonts w:eastAsia="Baskerville Old Face"/>
          <w:sz w:val="24"/>
        </w:rPr>
        <w:t xml:space="preserve">          </w:t>
      </w:r>
      <w:r>
        <w:rPr>
          <w:sz w:val="24"/>
        </w:rPr>
        <w:t>8.</w:t>
      </w:r>
      <w:r>
        <w:rPr>
          <w:i/>
          <w:iCs/>
          <w:sz w:val="24"/>
        </w:rPr>
        <w:t xml:space="preserve">     Eliminate transaction-specific deposits</w:t>
      </w:r>
      <w:r>
        <w:rPr>
          <w:sz w:val="24"/>
        </w:rPr>
        <w:tab/>
        <w:t>66</w:t>
      </w:r>
    </w:p>
    <w:p>
      <w:pPr>
        <w:pStyle w:val="Normal"/>
        <w:tabs>
          <w:tab w:val="left" w:pos="0" w:leader="none"/>
          <w:tab w:val="left" w:pos="720" w:leader="none"/>
          <w:tab w:val="right" w:pos="9360" w:leader="dot"/>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right" w:pos="9360" w:leader="dot"/>
        </w:tabs>
        <w:ind w:firstLine="720" w:end="0"/>
        <w:jc w:val="both"/>
        <w:rPr>
          <w:rFonts w:ascii="Times New Roman" w:hAnsi="Times New Roman" w:cs="Times New Roman"/>
          <w:sz w:val="24"/>
        </w:rPr>
      </w:pPr>
      <w:r>
        <w:rPr>
          <w:rFonts w:eastAsia="Baskerville Old Face"/>
          <w:sz w:val="24"/>
        </w:rPr>
        <w:t xml:space="preserve">          </w:t>
      </w:r>
      <w:r>
        <w:rPr>
          <w:sz w:val="24"/>
        </w:rPr>
        <w:t>9</w:t>
      </w:r>
      <w:r>
        <w:rPr>
          <w:i/>
          <w:iCs/>
          <w:sz w:val="24"/>
        </w:rPr>
        <w:t>.     Time-stamping</w:t>
      </w:r>
      <w:r>
        <w:rPr>
          <w:sz w:val="24"/>
        </w:rPr>
        <w:tab/>
        <w:t>66</w:t>
      </w:r>
    </w:p>
    <w:p>
      <w:pPr>
        <w:pStyle w:val="Normal"/>
        <w:tabs>
          <w:tab w:val="left" w:pos="0" w:leader="none"/>
          <w:tab w:val="left" w:pos="720" w:leader="none"/>
          <w:tab w:val="right" w:pos="9360" w:leader="dot"/>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right" w:pos="9360" w:leader="dot"/>
        </w:tabs>
        <w:ind w:firstLine="720" w:end="0"/>
        <w:jc w:val="both"/>
        <w:rPr/>
      </w:pPr>
      <w:r>
        <w:rPr>
          <w:rFonts w:eastAsia="Baskerville Old Face"/>
          <w:sz w:val="24"/>
        </w:rPr>
        <w:t xml:space="preserve">         </w:t>
      </w:r>
      <w:r>
        <w:rPr>
          <w:sz w:val="24"/>
        </w:rPr>
        <w:t>10</w:t>
      </w:r>
      <w:r>
        <w:rPr>
          <w:i/>
          <w:iCs/>
          <w:sz w:val="24"/>
        </w:rPr>
        <w:t>.     Standardized calculation of real power losses</w:t>
      </w:r>
      <w:r>
        <w:rPr>
          <w:sz w:val="24"/>
        </w:rPr>
        <w:tab/>
        <w:t>66</w:t>
      </w:r>
    </w:p>
    <w:p>
      <w:pPr>
        <w:pStyle w:val="Normal"/>
        <w:tabs>
          <w:tab w:val="left" w:pos="0" w:leader="none"/>
          <w:tab w:val="left" w:pos="720" w:leader="none"/>
          <w:tab w:val="right" w:pos="9360" w:leader="dot"/>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right" w:pos="9360" w:leader="dot"/>
        </w:tabs>
        <w:jc w:val="both"/>
        <w:rPr>
          <w:rFonts w:ascii="Times New Roman" w:hAnsi="Times New Roman" w:cs="Times New Roman"/>
          <w:sz w:val="24"/>
        </w:rPr>
      </w:pPr>
      <w:r>
        <w:rPr>
          <w:rFonts w:cs="Times New Roman" w:ascii="Times New Roman" w:hAnsi="Times New Roman"/>
          <w:sz w:val="24"/>
        </w:rPr>
        <w:t>CONCLUSION</w:t>
        <w:tab/>
        <w:t xml:space="preserve"> 67</w:t>
      </w:r>
    </w:p>
    <w:p>
      <w:pPr>
        <w:pStyle w:val="Normal"/>
        <w:tabs>
          <w:tab w:val="left" w:pos="0" w:leader="none"/>
          <w:tab w:val="left" w:pos="720" w:leader="none"/>
          <w:tab w:val="right" w:pos="9360" w:leader="dot"/>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t>APPENDIX A</w:t>
        <w:tab/>
        <w:t>AFFILIATED ORGANIZATIONS &amp;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t>APPENDIX B</w:t>
        <w:tab/>
        <w:t>NARRATIVE DESCRIPTION OF THE DAY-TO-DAY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OPERATION OF THE US WHOLESALE ELECTRIC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t>APPENDIX C</w:t>
        <w:tab/>
        <w:t>INTERIM REPORT OF THE SECRETARY OF ENERGY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t>APPENDIX D</w:t>
        <w:tab/>
        <w:t>EXAMPLES OF COMMON ONGOING FORMS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TRANSMISSION PROVIDER DISCRIMINATION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APPENDIX E</w:t>
        <w:tab/>
        <w:t>INFORMATION FROM FEDERAL POWER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APPENDIX F</w:t>
        <w:tab/>
        <w:tab/>
        <w:t>SUMMARY OF INDICATED PARTIES’ REQUESTED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rFonts w:eastAsia="Baskerville Old Face"/>
          <w:sz w:val="24"/>
        </w:rPr>
        <w:t xml:space="preserve"> </w:t>
      </w:r>
      <w:r>
        <w:rPr>
          <w:sz w:val="24"/>
        </w:rPr>
        <w:tab/>
        <w:tab/>
        <w:tab/>
        <w:t xml:space="preserve">   CLARIFICATIONS AND RECONSIDERATION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rFonts w:eastAsia="Baskerville Old Face"/>
          <w:sz w:val="24"/>
        </w:rPr>
        <w:t xml:space="preserve">   </w:t>
      </w:r>
      <w:r>
        <w:rPr>
          <w:sz w:val="24"/>
        </w:rPr>
        <w:t xml:space="preserve">OF THE </w:t>
      </w:r>
      <w:r>
        <w:rPr>
          <w:i/>
          <w:iCs/>
          <w:sz w:val="24"/>
        </w:rPr>
        <w:t>PRO FORMA</w:t>
      </w:r>
      <w:r>
        <w:rPr>
          <w:sz w:val="24"/>
        </w:rPr>
        <w:t xml:space="preserve">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r>
      <w:r>
        <w:rPr>
          <w:i/>
          <w:iCs/>
          <w:sz w:val="24"/>
        </w:rPr>
        <w:t>iv</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tab/>
        <w:t>UNITED STATES OF AMERICA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tab/>
        <w:t>BEFORE THE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szCs w:val="28"/>
        </w:rPr>
      </w:pPr>
      <w:r>
        <w:rPr>
          <w:b/>
          <w:bCs/>
          <w:sz w:val="30"/>
          <w:szCs w:val="30"/>
        </w:rPr>
        <w:tab/>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szCs w:val="28"/>
        </w:rPr>
      </w:pPr>
      <w:r>
        <w:rPr>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24"/>
        </w:rPr>
      </w:pP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0"/>
        <w:jc w:val="both"/>
        <w:rPr>
          <w:sz w:val="24"/>
        </w:rPr>
      </w:pPr>
      <w:r>
        <w:rPr>
          <w:sz w:val="24"/>
        </w:rPr>
        <w:t>Proposed Rulemaking on Electric</w:t>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Industry Structure, Incentives of Market</w:t>
        <w:tab/>
        <w:t>)</w:t>
        <w:tab/>
        <w:t xml:space="preserve">Docket No. RM95-8-000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Participants and Improvement of</w:t>
        <w:tab/>
        <w:tab/>
        <w:t>)</w:t>
        <w:tab/>
        <w:t xml:space="preserve">   &amp; RM98-__-000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Open-Access Commercial Practices</w:t>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24"/>
        </w:rPr>
        <w:tab/>
      </w:r>
      <w:r>
        <w:rPr>
          <w:b/>
          <w:bCs/>
          <w:sz w:val="30"/>
          <w:szCs w:val="30"/>
        </w:rPr>
        <w:t>PETITION FOR A RULEMAKING ON</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tab/>
        <w:t xml:space="preserve">ELECTRIC POWER INDUSTRY STRUCTURE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tab/>
        <w:t>AND COMMERCIAL PRACTICES AND MOTION</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tab/>
        <w:t>TO CLARIFY OR RECONSIDER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tab/>
        <w:t xml:space="preserve">CERTAIN OPEN-ACCESS COMMERCIAL PRACTICES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30"/>
          <w:szCs w:val="30"/>
        </w:rPr>
      </w:pPr>
      <w:r>
        <w:rPr>
          <w:b/>
          <w:bCs/>
          <w:sz w:val="30"/>
          <w:szCs w:val="30"/>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Pursuant to section 553 of the Administrative Procedure Act, 5 U.S.C. § 553 (1988), section 309 of the Federal Power Act (“FPA”), 16 U.S.C. § 825h (1988), and Commission Rules 2.1 (a) and 207 and 213, 18 C.F.R. §§ 2.1(a), 385.207, 385.212 (1997), the indicated power industry stakeholders (“Petitioners”)</w:t>
      </w:r>
      <w:r>
        <w:rPr>
          <w:rStyle w:val="FootnoteCharacters"/>
          <w:rStyle w:val="FootnoteReference"/>
          <w:sz w:val="24"/>
          <w:vertAlign w:val="superscript"/>
        </w:rPr>
        <w:footnoteReference w:id="2"/>
      </w:r>
      <w:r>
        <w:rPr>
          <w:sz w:val="24"/>
        </w:rPr>
        <w:t xml:space="preserve"> hereby petition the Commission to initiate a rulemaking to complete the orderly transition of today’s power industry to a fully competitive one in which transmission system operators have an incentive to make their services equally available to all users and to maximize the reliable and efficient use of the grid.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r>
      <w:r>
        <w:rPr>
          <w:b/>
          <w:bCs/>
          <w:sz w:val="28"/>
          <w:szCs w:val="28"/>
        </w:rPr>
        <w:t>EXECUTIVE SUMMARY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headerReference w:type="default" r:id="rId2"/>
          <w:footnotePr>
            <w:numFmt w:val="decimal"/>
          </w:footnotePr>
          <w:type w:val="nextPage"/>
          <w:pgSz w:w="12240" w:h="15840"/>
          <w:pgMar w:left="1440" w:right="1440" w:gutter="0" w:header="1440" w:top="1496" w:footer="0" w:bottom="144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The orderly transition to a fully competitive market that the Commission began so promisingly with Orders No. 888 and No. 889 has now stalled and is being rolled back by discriminatory conduct encouraged by the existing market structure.  To date, the Commission has relied on behavioral rules and the Open-Access Same-Time Information System ("OASIS") to prevent discrimination and the abuse of market power from undermining the transition.  This has not worked.  Discrimination by transmission owners and system operators is rampant and OASIS is unreliable.  Barring an enormous expansion of the Commission’s monitoring and enforcement capabilities, behavioral rules and OASIS are unlikely to be more effective in the future because of the powerful incentive that transmission system owners have under the current regime to maximize their own and  their affiliates’ profitability and their freedom from reliance on OASIS for the vast majority of their uses of the grid.  That incentive is magnified by the ability of traditional utilities to conceal discrimination under the cloak of service to native load or network service and the lack of anything more than a remote risk that subtle forms of discrimination will be detected and prosecuted.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In this petition, we ask the Commission to go beyond behavioral rules and eliminate the incentive to discriminate.  We ask the Commission to achieve this salutary result by breaking the bond between a transmission owner’s discrimination and the relative profitability of its own and affiliated merchant functions, and by eliminating the artificial divisions within power markets that make it easy to conceal discrimination.</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Just as the Commission discovered in the gas industry, the way to eliminate the incentive of a regulated transportation monopolist to discriminate in favor of its own and affiliated merchant operations is to divorce the two and make the merchant operation seek and obtain transportation pursuant to the identical rules -- open-access tariff and OASIS -- that govern all other shippers.  The Commission took this step in the natural gas pipeline industry in its Order No. 636.  </w:t>
      </w:r>
      <w:r>
        <w:rPr>
          <w:i/>
          <w:iCs/>
          <w:sz w:val="24"/>
        </w:rPr>
        <w:t>See generally Pipeline Service Obligations and Revisions to Regulations Governing Self-Implementing Transportation; and Regulation of Natural Gas Pipelines after Wellhead Decontrol</w:t>
      </w:r>
      <w:r>
        <w:rPr>
          <w:sz w:val="24"/>
        </w:rPr>
        <w:t xml:space="preserve">, Order No. 636, [1991-96 Regs. Preambles]  F.E.R.C. Stats. &amp; Regs. ¶ 30,939 [hereinafter cited as  </w:t>
      </w:r>
      <w:r>
        <w:rPr>
          <w:i/>
          <w:iCs/>
          <w:sz w:val="24"/>
        </w:rPr>
        <w:t>Order No. 636</w:t>
      </w:r>
      <w:r>
        <w:rPr>
          <w:sz w:val="24"/>
        </w:rPr>
        <w:t>].  The continued absence of an Order No. 636 equivalent in the electric power industry is crippling the transition to competition because the greater vertical integration of the electric power industry makes the incentive and opportunity to discriminate magnitudes greater than it ever was in the less integrated world of pre-Order No. 636 natural gas pipelines.  Placing all transmission users on the same tariff and making them all equally dependent on OASIS will also dramatically reduce the ability of transmission owners and system operators to conceal discrimination that favors them and their affiliates and disadvantages competitors.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sz w:val="24"/>
        </w:rPr>
      </w:pPr>
      <w:r>
        <w:rPr>
          <w:rFonts w:cs="Times New Roman" w:ascii="Times New Roman" w:hAnsi="Times New Roman"/>
          <w:sz w:val="24"/>
        </w:rPr>
        <w:t>To eradicate fully the incentive to discriminate as well as the ability to conceal discrimination, we ask the Commission to take two additional steps in the requested rulemaking.  First, free the transmission market of the split personality that invites discrimination; do so by eliminating load-based network integration service and consolidating all uses of the transmission grid in a single uniform offering of capacity on the basis of commercially tradable reservations.  Second, exercise authority to encourage the interconnection and coordination of the nation’s Balkanized transmission systems and control areas into regional grids under the control of independent regional operators, properly structured and possessing incentives to maximize throughput.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Finally, pending the implementation of these structural reforms to eliminate discrimination, we are asking the Commission to undertake immediately certain clarifications and revisions to the interpretation and implementation of Order No. 888 and Order No. 889 and the </w:t>
      </w:r>
      <w:r>
        <w:rPr>
          <w:rFonts w:cs="Times New Roman" w:ascii="Times New Roman" w:hAnsi="Times New Roman"/>
          <w:i/>
          <w:iCs/>
          <w:sz w:val="24"/>
        </w:rPr>
        <w:t>pro forma</w:t>
      </w:r>
      <w:r>
        <w:rPr>
          <w:rFonts w:cs="Times New Roman" w:ascii="Times New Roman" w:hAnsi="Times New Roman"/>
          <w:sz w:val="24"/>
        </w:rPr>
        <w:t xml:space="preserve"> nondiscriminatory open-access transmission tariff that will provide near-term relief from rampant discrimination.  These include steps to improve the timeliness and quality of reported available transmission capability (“ATC”) information, a directive that extra-tariff terms and conditions affecting transmission access not be enforced, and discrete tariff clarifications or revisions intended to improve liquidity and reduce transaction costs in transmission and power markets.</w:t>
      </w:r>
      <w:r>
        <w:rPr>
          <w:rStyle w:val="FootnoteCharacters"/>
          <w:rStyle w:val="FootnoteReference"/>
          <w:rFonts w:cs="Times New Roman" w:ascii="Times New Roman" w:hAnsi="Times New Roman"/>
          <w:sz w:val="24"/>
          <w:vertAlign w:val="superscript"/>
        </w:rPr>
        <w:footnoteReference w:id="3"/>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4"/>
        </w:rPr>
      </w:pPr>
      <w:r>
        <w:rPr>
          <w:rFonts w:cs="Times New Roman" w:ascii="Times New Roman" w:hAnsi="Times New Roman"/>
          <w:sz w:val="24"/>
        </w:rPr>
        <w:t>To summarize, in this petition we ask the Commission to issue a rule that would: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sz w:val="24"/>
        </w:rPr>
      </w:pPr>
      <w:r>
        <w:rPr>
          <w:sz w:val="24"/>
        </w:rPr>
        <w:t>1.</w:t>
        <w:tab/>
        <w:t>Unbundle all Commission jurisdictional transmission services (including those provided to captive customers) completely from the wholesale and retail merchant functions of market participants so that retail service providers are required to purchase and schedule transmission services under the same open-access tariff as are all other users;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sz w:val="24"/>
        </w:rPr>
      </w:pPr>
      <w:r>
        <w:rPr>
          <w:sz w:val="24"/>
        </w:rPr>
        <w:t>2.</w:t>
        <w:tab/>
        <w:t>Require that all transmission service be offered, purchased and scheduled under a uniform, open-access transmission tariff, pursuant to the same Open-Access Same-time Information System (“OASIS”), including compliance with the standards of conduct governing affiliate transactions;</w:t>
      </w:r>
      <w:r>
        <w:rPr>
          <w:rStyle w:val="FootnoteCharacters"/>
          <w:rStyle w:val="FootnoteReference"/>
          <w:sz w:val="24"/>
          <w:vertAlign w:val="superscript"/>
        </w:rPr>
        <w:footnoteReference w:id="4"/>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sz w:val="24"/>
        </w:rPr>
      </w:pPr>
      <w:r>
        <w:rPr>
          <w:sz w:val="24"/>
        </w:rPr>
        <w:t>3.</w:t>
        <w:tab/>
        <w:t>Consolidate all existing transmission services into a single,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4"/>
        </w:rPr>
      </w:pPr>
      <w:r>
        <w:rPr>
          <w:sz w:val="24"/>
        </w:rPr>
        <w:t>uniform transmission service based on tradable transmission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4"/>
        </w:rPr>
      </w:pPr>
      <w:r>
        <w:rPr>
          <w:sz w:val="24"/>
        </w:rPr>
        <w:t>reservations;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sz w:val="24"/>
        </w:rPr>
      </w:pPr>
      <w:r>
        <w:rPr>
          <w:sz w:val="24"/>
        </w:rPr>
        <w:t>4.</w:t>
        <w:tab/>
        <w:t>Collapse currently Balkanized control areas into appropriately structured and constituted regional operating entities capable of operating interconnected grids seamlessly and possessing incentives to maximize throughput;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pPr>
      <w:r>
        <w:rPr>
          <w:sz w:val="24"/>
        </w:rPr>
        <w:t>5.</w:t>
        <w:tab/>
        <w:t>Reclaim the Commission’s exclusive jurisdiction over the implementation of all rules affecting the terms and conditions of transmission service (including reliability rules</w:t>
      </w:r>
      <w:r>
        <w:rPr>
          <w:rStyle w:val="FootnoteCharacters"/>
          <w:rStyle w:val="FootnoteReference"/>
          <w:sz w:val="24"/>
          <w:vertAlign w:val="superscript"/>
        </w:rPr>
        <w:footnoteReference w:id="5"/>
      </w:r>
      <w:r>
        <w:rPr>
          <w:sz w:val="24"/>
        </w:rPr>
        <w:t>) and ensure that such rules are not implemented unilaterally without Commission approval;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pPr>
      <w:r>
        <w:rPr>
          <w:sz w:val="24"/>
        </w:rPr>
        <w:t>6.</w:t>
        <w:tab/>
        <w:t xml:space="preserve">Pending implementation of the foregoing structural reforms, clarify or revise certain aspects of the existing </w:t>
      </w:r>
      <w:r>
        <w:rPr>
          <w:i/>
          <w:iCs/>
          <w:sz w:val="24"/>
        </w:rPr>
        <w:t xml:space="preserve">pro forma </w:t>
      </w:r>
      <w:r>
        <w:rPr>
          <w:sz w:val="24"/>
        </w:rPr>
        <w:t>open-access tariff to eliminate provisions or interpretations that have erected barriers to competitive entry and to competition in power markets.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b/>
          <w:bCs/>
          <w:sz w:val="24"/>
        </w:rPr>
      </w:pPr>
      <w:r>
        <w:rPr>
          <w:sz w:val="24"/>
        </w:rPr>
        <w:t>By taking these six steps, the Commission can complete (to the extent of its jurisdiction) the orderly  transition to competition in the electric power industry.  By contrast, failure to implement reforms such as these will protract the transition and may jeopardize the ultimate goal of an open and nondiscriminatory power industry.  In support of this petition, we respectfully state: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24"/>
        </w:rPr>
        <w:tab/>
      </w:r>
      <w:r>
        <w:rPr>
          <w:b/>
          <w:bCs/>
          <w:sz w:val="28"/>
          <w:szCs w:val="28"/>
        </w:rPr>
        <w:t xml:space="preserve">REMAINING OBSTACLES TO A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tab/>
        <w:t xml:space="preserve">COMPETITIVE POWER INDUSTRY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8"/>
          <w:szCs w:val="28"/>
        </w:rPr>
        <w:tab/>
        <w:t>REQUIRE THE REQUESTED RULEMAKING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6"/>
          <w:szCs w:val="26"/>
        </w:rPr>
      </w:pPr>
      <w:r>
        <w:rPr>
          <w:b/>
          <w:bCs/>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6"/>
          <w:szCs w:val="26"/>
        </w:rPr>
      </w:pPr>
      <w:r>
        <w:rPr>
          <w:b/>
          <w:bCs/>
          <w:i/>
          <w:iCs/>
          <w:sz w:val="26"/>
          <w:szCs w:val="26"/>
        </w:rPr>
        <w:t>Competitive Gains in Wholesale and Retail Markets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Commission has transformed the industry with its “golden rule” of comparability in access to jurisdictional services.  </w:t>
      </w:r>
      <w:r>
        <w:rPr>
          <w:i/>
          <w:iCs/>
          <w:sz w:val="24"/>
        </w:rPr>
        <w:t>American Electric Power Service Corp.</w:t>
      </w:r>
      <w:r>
        <w:rPr>
          <w:sz w:val="24"/>
        </w:rPr>
        <w:t xml:space="preserve">, 67 F.E.R.C. ¶ 61,168 at 61,490 (1994).  The turning point came when the Commission subjected all transmitting public utilities to mandatory service comparability in Order No. 888, </w:t>
      </w:r>
      <w:r>
        <w:rPr>
          <w:i/>
          <w:iCs/>
          <w:sz w:val="24"/>
        </w:rPr>
        <w:t>Promoting Wholesale Competition through Open Access Non-Discriminatory Transmission Services by Public Utilities, and Recovery of Stranded Costs by Public Utilities and Transmitting Utilities</w:t>
      </w:r>
      <w:r>
        <w:rPr>
          <w:sz w:val="24"/>
        </w:rPr>
        <w:t>, Order No. 888, [1991</w:t>
        <w:noBreakHyphen/>
        <w:t xml:space="preserve">96 Regs. Preambles] F.E.R.C. Stats. &amp; Regs. ¶ 31,036 [hereinafter </w:t>
      </w:r>
      <w:r>
        <w:rPr>
          <w:i/>
          <w:iCs/>
          <w:sz w:val="24"/>
        </w:rPr>
        <w:t>Order No. 888</w:t>
      </w:r>
      <w:r>
        <w:rPr>
          <w:sz w:val="24"/>
        </w:rPr>
        <w:t xml:space="preserve">], </w:t>
      </w:r>
      <w:r>
        <w:rPr>
          <w:i/>
          <w:iCs/>
          <w:sz w:val="24"/>
        </w:rPr>
        <w:t xml:space="preserve">clarified, </w:t>
      </w:r>
      <w:r>
        <w:rPr>
          <w:sz w:val="24"/>
        </w:rPr>
        <w:t xml:space="preserve">76 F.E.R.C. ¶¶ 61,009, 61,347 (1996), </w:t>
      </w:r>
      <w:r>
        <w:rPr>
          <w:i/>
          <w:iCs/>
          <w:sz w:val="24"/>
        </w:rPr>
        <w:t>reh’g granted in part,</w:t>
      </w:r>
      <w:r>
        <w:rPr>
          <w:sz w:val="24"/>
        </w:rPr>
        <w:t xml:space="preserve"> Order No. 888-A, III F.E.R.C. Stats. &amp; Regs. ¶ 31,048 (1997) [hereinafter </w:t>
      </w:r>
      <w:r>
        <w:rPr>
          <w:i/>
          <w:iCs/>
          <w:sz w:val="24"/>
        </w:rPr>
        <w:t>Order No. 888-A</w:t>
      </w:r>
      <w:r>
        <w:rPr>
          <w:sz w:val="24"/>
        </w:rPr>
        <w:t>],</w:t>
      </w:r>
      <w:r>
        <w:rPr>
          <w:i/>
          <w:iCs/>
          <w:sz w:val="24"/>
        </w:rPr>
        <w:t xml:space="preserve"> order on rehearing, </w:t>
      </w:r>
      <w:r>
        <w:rPr>
          <w:sz w:val="24"/>
        </w:rPr>
        <w:t>Order No. 888-B, 81 F.E.R.C.</w:t>
      </w:r>
      <w:r>
        <w:rPr>
          <w:i/>
          <w:iCs/>
          <w:sz w:val="24"/>
        </w:rPr>
        <w:t xml:space="preserve"> ¶ </w:t>
      </w:r>
      <w:r>
        <w:rPr>
          <w:sz w:val="24"/>
        </w:rPr>
        <w:t>61,248 (1997),</w:t>
      </w:r>
      <w:r>
        <w:rPr>
          <w:i/>
          <w:iCs/>
          <w:sz w:val="24"/>
        </w:rPr>
        <w:t xml:space="preserve"> appeal docketed sub nom. People of the State of New York v. FERC,</w:t>
      </w:r>
      <w:r>
        <w:rPr>
          <w:sz w:val="24"/>
        </w:rPr>
        <w:t xml:space="preserve"> No. ____ (appeal docketed _______).</w:t>
      </w:r>
      <w:r>
        <w:rPr>
          <w:b/>
          <w:bCs/>
          <w:sz w:val="24"/>
        </w:rPr>
        <w:t xml:space="preserve"> </w:t>
      </w:r>
      <w:r>
        <w:rPr>
          <w:sz w:val="24"/>
        </w:rPr>
        <w:t xml:space="preserve"> Since the Order No. 888 </w:t>
      </w:r>
      <w:r>
        <w:rPr>
          <w:i/>
          <w:iCs/>
          <w:sz w:val="24"/>
        </w:rPr>
        <w:t xml:space="preserve">pro forma </w:t>
      </w:r>
      <w:r>
        <w:rPr>
          <w:sz w:val="24"/>
        </w:rPr>
        <w:t xml:space="preserve">tariffs were implemented in July 1996, many traditional barriers to transmission access have fallen.  Increased opportunities for trading  have introduced liquidity and transparent price-discovery in many power markets.  Liquidity and price-discovery in financial markets have moved the industry toward the Commission’s goal of “a freely traded commodity market in electricity in which wholesale customers can shop for competitively priced power.”  </w:t>
      </w:r>
      <w:r>
        <w:rPr>
          <w:i/>
          <w:iCs/>
          <w:sz w:val="24"/>
        </w:rPr>
        <w:t>Order No. 888-A</w:t>
      </w:r>
      <w:r>
        <w:rPr>
          <w:sz w:val="24"/>
        </w:rPr>
        <w:t>, III F.E.R.C. Stats. &amp; Regs. at 30,176.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More recently, the competitive gains of the wholesale market, attributable to the “golden rule” and Order No. 888, have begun spilling over into retail markets.  Currently, 16 states are implementing regulatory or statutory changes to introduce full retail competition; in another 33 states retail competition is under active consideration.</w:t>
      </w:r>
      <w:r>
        <w:rPr>
          <w:rStyle w:val="FootnoteCharacters"/>
          <w:rStyle w:val="FootnoteReference"/>
          <w:sz w:val="24"/>
          <w:vertAlign w:val="superscript"/>
        </w:rPr>
        <w:footnoteReference w:id="6"/>
      </w:r>
      <w:r>
        <w:rPr>
          <w:sz w:val="24"/>
        </w:rPr>
        <w:t xml:space="preserve">  The successful transition to retail competition will depend critically on all retail market competitors being able to obtain open and equal access to competitively priced power and to deliver it physically.</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sz w:val="24"/>
        </w:rPr>
      </w:pPr>
      <w:r>
        <w:rPr>
          <w:b/>
          <w:bCs/>
          <w:i/>
          <w:iCs/>
          <w:sz w:val="26"/>
          <w:szCs w:val="26"/>
        </w:rPr>
        <w:t>Limitations on Comparable Open Access Threaten to Deny Full Competition to Power Markets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Notwithstanding impressive gains in introducing competition into the nation’s last bastion of vertically integrated monopolies, the transition to competition has faltered.  While it is true that wholesale transactions by new market entrants have been increasing, these transactions are mostly financial “paper” trades that never go to physical delivery.  They do not go to physical delivery because most transmission capacity needed to complete physical trades remains out of reach to new entrants; it is either committed to captive loads or to contracts exempted from nondiscriminatory open access under the grandfathering provisions of Order No. 888.</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biggest obstacle to the introduction of competition is the only partially unbundled structure of the industry.  Within this structure, transmission owners retain incentives to discriminate and underutilize physical system capability.  These incentives are magnified by the owners and operators’ control of critical information.  The transition is also being impeded by rules and protocols (both old and new) intended for a vertically integrated industry that are preventing power from trading freely as a commodity at competitive prices.  Vehicles and services intended to inform and empower buyers and sellers so that they can compete more effectively have instead become cumbersome obstacles to competition; worse still, they have become tools of misinformation and market exclusion.  Concepts such as ATC and the OASIS have become vehicles for obstructing and curtailing, rather than accommodating, transactions.  Incumbents are able to deny new entrants access to critical, accurate  information across control areas.  This can take the form of out-of-date or incorrect postings of ATC or, in some instances, intentional withholding of actual ATC.  Regardless of the cause, more transmission capability is physically available than is being released for sale.  As a result, a large number of bulk power transactions that should go through are never completed.  Nor do the current operating rules for independent system operators (“ISOs”) and control areas do not, in fact, provide any incentives for increased throughput on the transmission system.  These roadblocks to competition will persist until the Commission </w:t>
      </w:r>
      <w:r>
        <w:rPr>
          <w:i/>
          <w:iCs/>
          <w:sz w:val="24"/>
        </w:rPr>
        <w:t>re</w:t>
      </w:r>
      <w:r>
        <w:rPr>
          <w:sz w:val="24"/>
        </w:rPr>
        <w:t>asserts its leadership in exorcizing from the industry those pre-competitive vestiges that reward discrimination and self-dealing and prevent transmission networks from operating efficiently.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iCs/>
          <w:sz w:val="26"/>
          <w:szCs w:val="26"/>
        </w:rPr>
      </w:pPr>
      <w:r>
        <w:rPr>
          <w:i/>
          <w:iCs/>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sz w:val="24"/>
        </w:rPr>
      </w:pPr>
      <w:r>
        <w:rPr>
          <w:b/>
          <w:bCs/>
          <w:i/>
          <w:iCs/>
          <w:sz w:val="26"/>
          <w:szCs w:val="26"/>
        </w:rPr>
        <w:t>A Bundled Industry that Divides into Three Parts, Each Enjoying Different and Unequal Access to the Grid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Early in the analysis that produced Order No. 888, the Commission, together with the Bureau of Economics of the Federal Trade Commission (“BE/FTC”) and the Antitrust Division of the Department of Justice (“DOJ”), recognized that continued vertical integration and the failure to unbundle completely transmission monopoly functions from merchant sales functions would perpetuate incentives to discriminate and abuse market power.  </w:t>
      </w:r>
      <w:r>
        <w:rPr>
          <w:i/>
          <w:iCs/>
          <w:sz w:val="24"/>
        </w:rPr>
        <w:t>See Order No. 888</w:t>
      </w:r>
      <w:r>
        <w:rPr>
          <w:sz w:val="24"/>
        </w:rPr>
        <w:t>, [1991-96 Regs. Preambles] F.E.R.C. Stats. &amp; Regs. at 31,654-55 (FTC/DOJ stated that functional unbundling alone required additional safeguards to protect against market power).  In the notice of proposed rulemaking, the Commission recognized that failure to unbundle transmission services completely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t>will result in service under two separate arrangements – an explicit wholesale transmission tariff at the Commission and an implicit retail transmission tariff governed by a state regulatory body.  It also raises the possibility that the quality of transmission service for retail purposes will be superior to the quality of transmission service offered for wholesale purposes.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iCs/>
          <w:sz w:val="24"/>
        </w:rPr>
        <w:t>Notice of Proposed Rulemaking Promoting Wholesale Competition through Open Access Non-Discriminatory Transmission Services by Public Utilities</w:t>
      </w:r>
      <w:r>
        <w:rPr>
          <w:sz w:val="24"/>
        </w:rPr>
        <w:t xml:space="preserve">, IV F.E.R.C. ¶ 32,514 at 33,081-82 (1995) [hereinafter </w:t>
      </w:r>
      <w:r>
        <w:rPr>
          <w:i/>
          <w:iCs/>
          <w:sz w:val="24"/>
        </w:rPr>
        <w:t>Open-Access NOPR</w:t>
      </w:r>
      <w:r>
        <w:rPr>
          <w:sz w:val="24"/>
        </w:rPr>
        <w:t xml:space="preserve">].  In the resulting final rule, the Commission explained that “the unbundling of retail transmission and generation, as well as wholesale transmission and generation, would be helpful in achieving comparability” by subjecting all transmission uses to the “golden rule” of service comparability.  </w:t>
      </w:r>
      <w:r>
        <w:rPr>
          <w:i/>
          <w:iCs/>
          <w:sz w:val="24"/>
        </w:rPr>
        <w:t xml:space="preserve">Order No. 888, </w:t>
      </w:r>
      <w:r>
        <w:rPr>
          <w:sz w:val="24"/>
        </w:rPr>
        <w:t>[1991-96 Regs. Preambles] F.E.R.C. Stats. &amp; Regs. at 31,699.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Despite these findings and conclusions, the Commission elected not to require complete unbundling, at least in the near term.  The Commission explained that “[w]e are not now requiring any form of corporate unbundling,”</w:t>
      </w:r>
      <w:r>
        <w:rPr>
          <w:i/>
          <w:iCs/>
          <w:sz w:val="24"/>
        </w:rPr>
        <w:t xml:space="preserve"> id.</w:t>
      </w:r>
      <w:r>
        <w:rPr>
          <w:sz w:val="24"/>
        </w:rPr>
        <w:t xml:space="preserve"> at 31,655, but clarified on rehearing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720"/>
        <w:jc w:val="both"/>
        <w:rPr/>
      </w:pPr>
      <w:r>
        <w:rPr>
          <w:sz w:val="24"/>
        </w:rPr>
        <w:t xml:space="preserve">[w]e do emphasize . . . that we have not adopted a rigid approach, but have indicated a willingness to monitor the situation and, if events require, reevaluate our decision and decide that another mechanism may be more appropriate.  </w:t>
      </w:r>
      <w:r>
        <w:rPr>
          <w:i/>
          <w:iCs/>
          <w:sz w:val="24"/>
        </w:rPr>
        <w:t>Until we see evidence that functional unbundling will not work</w:t>
      </w:r>
      <w:r>
        <w:rPr>
          <w:sz w:val="24"/>
        </w:rPr>
        <w:t>, we will continue to require functional unbundling, with the Safeguards enumerated in [Order No. 888] and in Order No. 889.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i/>
          <w:iCs/>
          <w:sz w:val="24"/>
        </w:rPr>
        <w:t>Order No. 888-A</w:t>
      </w:r>
      <w:r>
        <w:rPr>
          <w:sz w:val="24"/>
        </w:rPr>
        <w:t>, III F.E.R.C. Stats. &amp; Regs. at 30,186 (emphasis added).</w:t>
      </w:r>
      <w:r>
        <w:rPr>
          <w:rStyle w:val="FootnoteCharacters"/>
          <w:rStyle w:val="FootnoteReference"/>
          <w:sz w:val="24"/>
          <w:vertAlign w:val="superscript"/>
        </w:rPr>
        <w:footnoteReference w:id="7"/>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Instead of unbundling and making all transmission uses subject to comparability and a public utility’s open-access tariff, the Commission ordered that only wholesale transmission be unbundled from generation; other transmission uses that remained bundled with generation delivered to a vertically integrated utility’s captive customers would continue to elude service comparability and open access, at least for the near term.  </w:t>
      </w:r>
      <w:r>
        <w:rPr>
          <w:i/>
          <w:iCs/>
          <w:sz w:val="24"/>
        </w:rPr>
        <w:t>Order No. 888,</w:t>
      </w:r>
      <w:r>
        <w:rPr>
          <w:sz w:val="24"/>
        </w:rPr>
        <w:t>[1991-96 Regs. Preambles] F.E.R.C. Stats. &amp; Regs. at 31,699-700.</w:t>
      </w:r>
      <w:r>
        <w:rPr>
          <w:rStyle w:val="FootnoteCharacters"/>
          <w:rStyle w:val="FootnoteReference"/>
          <w:sz w:val="24"/>
          <w:vertAlign w:val="superscript"/>
        </w:rPr>
        <w:footnoteReference w:id="8"/>
      </w:r>
      <w:r>
        <w:rPr>
          <w:sz w:val="24"/>
        </w:rPr>
        <w:t xml:space="preserve">  However, if that retail transmission were ever to become unbundled, then it would become subject to comparability and the public utility’s open-access tariff.  The Commission explained that: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t>If unbundled retail transmission in interstate commerce occurs voluntarily by a public utility or as a result of a state retail access program, this Commission has exclusive jurisdiction over the rates, terms and conditions of such transmission. . . .  [W]e find compelling  the fact that section 201 of the FPA, on its face, gives this Commission jurisdiction in interstate commerce (by public utilities) without qualification.  Unlike our jurisdiction over sales of electric energy, which section 201 of the FPA specifically limits to sales at wholesale, the statute does not limit our transmission jurisdiction over public utilities to wholesale transmission.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iCs/>
          <w:sz w:val="24"/>
        </w:rPr>
        <w:t xml:space="preserve">Id. </w:t>
      </w:r>
      <w:r>
        <w:rPr>
          <w:sz w:val="24"/>
        </w:rPr>
        <w:t>at 31,781.  The Commission clarified on rehearing that unbundled retail transmission must be offered and provided pursuant only to a public utility’s open-access tariff on file with the Commission and that “retail customers taking unbundled service pursuant to a state requirement (</w:t>
      </w:r>
      <w:r>
        <w:rPr>
          <w:i/>
          <w:iCs/>
          <w:sz w:val="24"/>
        </w:rPr>
        <w:t>i.e.</w:t>
      </w:r>
      <w:r>
        <w:rPr>
          <w:sz w:val="24"/>
        </w:rPr>
        <w:t xml:space="preserve">, direct retail service)” are eligible for such service under the open-access tariff. </w:t>
      </w:r>
      <w:r>
        <w:rPr>
          <w:i/>
          <w:iCs/>
          <w:sz w:val="24"/>
        </w:rPr>
        <w:t xml:space="preserve"> Order No. 888-A</w:t>
      </w:r>
      <w:r>
        <w:rPr>
          <w:sz w:val="24"/>
        </w:rPr>
        <w:t xml:space="preserve">, </w:t>
      </w:r>
      <w:r>
        <w:rPr>
          <w:i/>
          <w:iCs/>
          <w:sz w:val="24"/>
        </w:rPr>
        <w:t xml:space="preserve"> </w:t>
      </w:r>
      <w:r>
        <w:rPr>
          <w:sz w:val="24"/>
        </w:rPr>
        <w:t>at 30,179.</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As a result of the Commission’s threshold choice of functional unbundling over operational unbundling and its decision to subject only transmission in connection with wholesale sales to comparability and open access, the current power industry divides into three parts that often function at crossed purposes.  The </w:t>
      </w:r>
      <w:r>
        <w:rPr>
          <w:i/>
          <w:iCs/>
          <w:sz w:val="24"/>
        </w:rPr>
        <w:t>first part</w:t>
      </w:r>
      <w:r>
        <w:rPr>
          <w:sz w:val="24"/>
        </w:rPr>
        <w:t xml:space="preserve"> is the wholesale, bulk power market, which comprises less than 20 percent of the power market.</w:t>
      </w:r>
      <w:r>
        <w:rPr>
          <w:rStyle w:val="FootnoteCharacters"/>
          <w:rStyle w:val="FootnoteReference"/>
          <w:sz w:val="24"/>
          <w:vertAlign w:val="superscript"/>
        </w:rPr>
        <w:footnoteReference w:id="9"/>
      </w:r>
      <w:r>
        <w:rPr>
          <w:sz w:val="24"/>
        </w:rPr>
        <w:t xml:space="preserve">  In the words of the rulemaking notice that produced Order No. 888, this is the market that operates under the “explicit wholesale transmission tariff filed at the Commission” and is firmly anchored in the Commission’s Orders No. 888 and No. 889.  Many, if not most, wholesale transactions are conducted at market-based rates by vendors found to have no market power or to have mitigated market power.  With important exceptions, this wholesale market enjoys relatively open and nondiscriminatory access.  Entry barriers are also relatively few, but (as explained more fully below)</w:t>
      </w:r>
      <w:r>
        <w:rPr>
          <w:rStyle w:val="FootnoteCharacters"/>
          <w:rStyle w:val="FootnoteReference"/>
          <w:sz w:val="24"/>
          <w:vertAlign w:val="superscript"/>
        </w:rPr>
        <w:footnoteReference w:id="10"/>
      </w:r>
      <w:r>
        <w:rPr>
          <w:sz w:val="24"/>
        </w:rPr>
        <w:t xml:space="preserve"> entry barriers in the form of increasing transaction costs are growing steadily larger.  The </w:t>
      </w:r>
      <w:r>
        <w:rPr>
          <w:i/>
          <w:iCs/>
          <w:sz w:val="24"/>
        </w:rPr>
        <w:t>second part</w:t>
      </w:r>
      <w:r>
        <w:rPr>
          <w:sz w:val="24"/>
        </w:rPr>
        <w:t xml:space="preserve"> comprises traditional, vertically integrated utilities that offer open-access transmission service to wholesale customers but, for the most part, provide bundled generation-transmission-distribution-metering services at regulated prices, pursuant to state and local regulations and franchises.  Franchise entry barriers are absolute, and access to transmission is not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sz w:val="24"/>
        </w:rPr>
        <w:t xml:space="preserve">subject to open access and service comparability.  The </w:t>
      </w:r>
      <w:r>
        <w:rPr>
          <w:i/>
          <w:iCs/>
          <w:sz w:val="24"/>
        </w:rPr>
        <w:t>third part</w:t>
      </w:r>
      <w:r>
        <w:rPr>
          <w:sz w:val="24"/>
        </w:rPr>
        <w:t xml:space="preserve"> is where the unbundled bulk power and the bundled franchise markets begin to converge:  pockets of state-authorized retail competition in which unbundled open-access transmission is being introduced from generator to customer meter.  In this sector, all transmission is regulated under the Commission’s “golden rule”; retail sales and associated functions remain subject to state and local rules.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iCs/>
          <w:sz w:val="26"/>
          <w:szCs w:val="26"/>
        </w:rPr>
      </w:pPr>
      <w:r>
        <w:rPr>
          <w:i/>
          <w:iCs/>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sz w:val="24"/>
        </w:rPr>
      </w:pPr>
      <w:r>
        <w:rPr>
          <w:b/>
          <w:bCs/>
          <w:i/>
          <w:iCs/>
          <w:sz w:val="26"/>
          <w:szCs w:val="26"/>
        </w:rPr>
        <w:t>The Choice Is between Structural Reforms that Eliminate Incentives to Discriminate and Enforcing a Growing Number of Behavioral Rules to Police the Incentive to Discriminate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The rulemaking that we request is needed to reconcile the unbundled wholesale and competitive retail parts of the industry with the vertically integrated transmission-distribution utility part of the business.  This reconciliation must focus on eliminating the incentive to discriminate.  The vertically integrated sector continues to control most transmission capacity either because that capacity remains bundled with retail services to captive customers or because incumbent utilities hold the capacity under contracts that are excused by grandfathering provisions from compliance with open access.  Thus, vertically integrated transmission-distribution utilities have a strong incentive to restrict the access of both wholesale and potential retail competitors to the transmission capacity that they control.  The BE/FTC described the resulting, skewed incentives in its comments in connection with Order No. 888: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4"/>
        </w:rPr>
      </w:pPr>
      <w:r>
        <w:rPr>
          <w:sz w:val="24"/>
        </w:rPr>
        <w:t xml:space="preserve">FERC’s plan for “functional unbundling of power generation from transmission services address a critical competitive issue by requiring  vertically integrated utilities to grant open access and equal treatment to their competitors.  This approach, however, would </w:t>
      </w:r>
      <w:r>
        <w:rPr>
          <w:i/>
          <w:iCs/>
          <w:sz w:val="24"/>
        </w:rPr>
        <w:t>leave in place the incentive and opportunity for some utilities to exercise market power in the regulated system.</w:t>
      </w:r>
      <w:r>
        <w:rPr>
          <w:sz w:val="24"/>
        </w:rPr>
        <w:t xml:space="preserve">  Preventing them from doing so by enforcing regulations to control their </w:t>
      </w:r>
      <w:r>
        <w:rPr>
          <w:i/>
          <w:iCs/>
          <w:sz w:val="24"/>
        </w:rPr>
        <w:t xml:space="preserve">behavior </w:t>
      </w:r>
      <w:r>
        <w:rPr>
          <w:sz w:val="24"/>
        </w:rPr>
        <w:t>may prove difficult.  The problem would be most effectively prevented by completely separating ownership and control of generation from transmission.  This separation would remove both the incentive and the opportunity to exercise market power, by eliminating the utilities ability to discriminate in favor of their own generation operations.</w:t>
      </w:r>
      <w:r>
        <w:rPr>
          <w:rStyle w:val="FootnoteCharacters"/>
          <w:rStyle w:val="FootnoteReference"/>
          <w:sz w:val="24"/>
          <w:vertAlign w:val="superscript"/>
        </w:rPr>
        <w:footnoteReference w:id="11"/>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start="-1440" w:end="-1440"/>
        <w:jc w:val="both"/>
        <w:rPr/>
      </w:pPr>
      <w:r>
        <w:rPr>
          <w:sz w:val="24"/>
        </w:rPr>
        <w:t>Before the Commission today is the choice between adopting and enforcing a growing body of behavioral rules and regulations or structural reforms.  We believe that the right choice is structural reform.  Not only are behavioral solutions less effective than structural solutions, experience increasingly is showing that the Commission does not have either the inclination or resources to establish and police behavioral rules that might prevent transmission owners and operators from discriminating (often very subtly</w:t>
      </w:r>
      <w:r>
        <w:rPr>
          <w:rStyle w:val="FootnoteCharacters"/>
          <w:rStyle w:val="FootnoteReference"/>
          <w:sz w:val="24"/>
          <w:vertAlign w:val="superscript"/>
        </w:rPr>
        <w:footnoteReference w:id="12"/>
      </w:r>
      <w:r>
        <w:rPr>
          <w:sz w:val="24"/>
        </w:rPr>
        <w:t>) in their own favor.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r>
    </w:p>
    <w:p>
      <w:pPr>
        <w:sectPr>
          <w:footnotePr>
            <w:numFmt w:val="decimal"/>
          </w:footnotePr>
          <w:type w:val="continuous"/>
          <w:pgSz w:w="12240" w:h="15840"/>
          <w:pgMar w:left="2880" w:right="288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b/>
          <w:bCs/>
          <w:i/>
          <w:iCs/>
          <w:sz w:val="26"/>
          <w:szCs w:val="26"/>
        </w:rPr>
        <w:t>Unilateral Rules Affecting Transmission Access Are Undermining Nondiscriminatory Open Access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Vertically integrated transmission-distribution utilities and their associations, such as the North American Electric Reliability Council (“NERC”), are increasingly seeking to impose restrictions and preconditions on how others in the wholesale and emerging retail markets are allowed to use transmission resources and access markets.</w:t>
      </w:r>
      <w:r>
        <w:rPr>
          <w:rStyle w:val="FootnoteCharacters"/>
          <w:rStyle w:val="FootnoteReference"/>
          <w:sz w:val="24"/>
          <w:vertAlign w:val="superscript"/>
        </w:rPr>
        <w:footnoteReference w:id="13"/>
      </w:r>
      <w:r>
        <w:rPr>
          <w:sz w:val="24"/>
        </w:rPr>
        <w:t xml:space="preserve">  Whether intended to fill a gap left by Order No. 888 or redress incentives to discriminate within operationally bundled utility structures, these rules and preconditions are highly problematic.  Not only do they effectively usurp the Commission’s exclusive FPA jurisdiction over transmission service, but they also jeopardize the transition to competitive wholesale and retail markets in two other respects.  First, they create a regime of private tariffs -- subject to frequent change without notice -- that must be consulted in addition to the public tariff on file with the Commission before transmission customers can understand all of the rates, terms and conditions of transmission service.  Second, these unilateral rules and protocols emanate predominantly from the </w:t>
      </w:r>
      <w:r>
        <w:rPr>
          <w:i/>
          <w:iCs/>
          <w:sz w:val="24"/>
        </w:rPr>
        <w:t>systems-operations</w:t>
      </w:r>
      <w:r>
        <w:rPr>
          <w:sz w:val="24"/>
        </w:rPr>
        <w:t xml:space="preserve"> side of the power industry that lacks familiarity with, and is often hostile or indifferent to, the needs of </w:t>
      </w:r>
      <w:r>
        <w:rPr>
          <w:i/>
          <w:iCs/>
          <w:sz w:val="24"/>
        </w:rPr>
        <w:t>commercial</w:t>
      </w:r>
      <w:r>
        <w:rPr>
          <w:sz w:val="24"/>
        </w:rPr>
        <w:t xml:space="preserve"> markets.</w:t>
      </w:r>
      <w:r>
        <w:rPr>
          <w:rStyle w:val="FootnoteCharacters"/>
          <w:rStyle w:val="FootnoteReference"/>
          <w:sz w:val="24"/>
          <w:vertAlign w:val="superscript"/>
        </w:rPr>
        <w:footnoteReference w:id="14"/>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b/>
          <w:bCs/>
          <w:sz w:val="28"/>
          <w:szCs w:val="28"/>
        </w:rPr>
      </w:pPr>
      <w:r>
        <w:rPr>
          <w:b/>
          <w:bCs/>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b/>
          <w:bCs/>
          <w:sz w:val="28"/>
          <w:szCs w:val="28"/>
        </w:rPr>
      </w:pPr>
      <w:r>
        <w:rPr>
          <w:b/>
          <w:bCs/>
          <w:sz w:val="28"/>
          <w:szCs w:val="28"/>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b/>
          <w:bCs/>
          <w:sz w:val="28"/>
          <w:szCs w:val="28"/>
        </w:rPr>
        <w:tab/>
        <w:t>FACTUAL BASIS FOR RULEMAKING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Electric power markets are not operating as the seamless exchanges they are capable of emulating.  Buyers and sellers of electricity find themselves unable to consummate transactions for which adequate transmission capacity exists.  The cause for these market failures is, in large part, the remaining, vertically integrated structure of the power industry.  Embedded in this structure are incentives for vertically integrated transmission providers to discriminate against transmission customers that are their competitors in wholesale (and increasingly in retail) markets.  This discrimination takes the form of inaccurate, incomplete and untimely ATC postings, conflicting ATC determinations across the same interface, unreported transactions, untimely scheduling, extra-tariff pre-conditions on transmission service, rules that cut rather than accommodate transactions, improper exchanges of confidential information, and untimely processing of schedules.  In App. D, we recount specific (but by no means exhaustive) instances of common, real-world discriminatory practices, including instances of:</w:t>
      </w:r>
    </w:p>
    <w:p>
      <w:pPr>
        <w:pStyle w:val="Style14"/>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Abuse of the preferential status of service to native load in order to enable or conceal discrimination;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Style14"/>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ATC exclusions, inaccuracies and misuses that deny new entrants the ability to evaluate market opportunities, and therefore, prevent reasonable access to the grid;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Style14"/>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Violations of transmission provider OASIS reporting requirements that relegate new entrants to seeking access in the dark;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Style14"/>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Unauthorized exchanges of competitively valuable information on reservations and schedules between transmission system operators and their own or affiliated merchant operation employees;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Style14"/>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Arbitrary imposition of extra-tariff restrictions on access that disproportionately burden new market entrants.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numPr>
          <w:ilvl w:val="8"/>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sz w:val="24"/>
        </w:rPr>
      </w:pPr>
      <w:r>
        <w:rPr>
          <w:sz w:val="24"/>
        </w:rPr>
        <w:t xml:space="preserve">The practices that we identify are undermining the development of competitive markets.  To a certain extent, these types of discrimination could be lessened or made less remunerative to transmission providers by strict enforcement of behavioral rules and by clarifications or revisions to the open-access </w:t>
      </w:r>
      <w:r>
        <w:rPr>
          <w:i/>
          <w:iCs/>
          <w:sz w:val="24"/>
        </w:rPr>
        <w:t>pro forma</w:t>
      </w:r>
      <w:r>
        <w:rPr>
          <w:sz w:val="24"/>
        </w:rPr>
        <w:t xml:space="preserve"> tariffs and their applications.  Real success in eradicating discrimination, however, will require structural reforms that address why transmission operators and their owners discriminate in the first place.  They do so because it is profitable and usually very hard to detect under the current market structure.  As is apparent from a majority of the examples provided in App. D, the discrimination recounted would not have been sustainable in a fully unbundled power industry where all customers are offered and take transmission service and exchange transmission-related information on the same basis, pursuant to the same set of rules.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bCs/>
          <w:sz w:val="24"/>
        </w:rPr>
        <w:tab/>
      </w:r>
      <w:r>
        <w:rPr>
          <w:b/>
          <w:bCs/>
          <w:sz w:val="30"/>
          <w:szCs w:val="30"/>
        </w:rPr>
        <w:t>LEGAL BASIS FOR RULEMAKING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Commission has a responsibility and broad authority to remedy structural problems that perpetuate undue discrimination and confine competitive, commercial opportunities in the electric power industry after issuance and implementation of Orders No. 888 and 889.  Under FPA section 309, the “Commission shall have power to perform any and all acts, and to prescribe, issue, make, amend, and rescind such orders, rules, and regulations as it may find necessary or appropriate to carry out the provisions of [the FPA].”  16 U.S.C. § 825h (1988).  Provisions of the FPA, reviewed in App. E, establish ample authority for the Commission to find the post-Order No. 888 </w:t>
      </w:r>
      <w:r>
        <w:rPr>
          <w:i/>
          <w:iCs/>
          <w:sz w:val="24"/>
        </w:rPr>
        <w:t xml:space="preserve">status quo </w:t>
      </w:r>
      <w:r>
        <w:rPr>
          <w:sz w:val="24"/>
        </w:rPr>
        <w:t>discriminatory and not in the public interest, and thereafter to prescribe the remedies requested in this petition.  Further, the Commission’s authority under the FPA and the Public Utility Regulatory Policy Act of 1978, also reviewed in App. E, empowers the Commission to move the industry toward regional consolidation of transmission operations as requested herein.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bCs/>
          <w:sz w:val="24"/>
        </w:rPr>
        <w:tab/>
      </w:r>
      <w:r>
        <w:rPr>
          <w:b/>
          <w:bCs/>
          <w:sz w:val="30"/>
          <w:szCs w:val="30"/>
        </w:rPr>
        <w:t>PROPOSED RULEMAKING</w:t>
      </w:r>
      <w:r>
        <w:fldChar w:fldCharType="begin"/>
      </w:r>
      <w:r>
        <w:rPr/>
        <w:instrText xml:space="preserve"> TC "PROPOSED RULEMAKING"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sz w:val="28"/>
          <w:szCs w:val="28"/>
        </w:rPr>
      </w:pPr>
      <w:r>
        <w:rPr>
          <w:b/>
          <w:bCs/>
          <w:sz w:val="28"/>
          <w:szCs w:val="28"/>
        </w:rPr>
        <w:t>I.</w:t>
        <w:tab/>
        <w:t>EXPERIENCE IN RESTRUCTURING THE NATURAL GAS INDUSTRY DEMONSTRATES THAT DEFERRING COMPLETE UNBUNDLING PERPETUATES DISCRIMINATION</w:t>
      </w:r>
      <w:r>
        <w:fldChar w:fldCharType="begin"/>
      </w:r>
      <w:r>
        <w:rPr/>
        <w:instrText xml:space="preserve"> TC "I.</w:instrText>
        <w:tab/>
        <w:instrText xml:space="preserve">EXPERIENCE IN RESTRUCTURING THE NATURAL GAS INDUSTRY DEMONSTRATES THAT DEFERRING COMPLETE UNBUNDLING PERPETUATES DISCRIMINATION"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szCs w:val="28"/>
        </w:rPr>
      </w:pPr>
      <w:r>
        <w:rPr>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b/>
          <w:bCs/>
          <w:sz w:val="24"/>
        </w:rPr>
      </w:pPr>
      <w:r>
        <w:rPr>
          <w:b/>
          <w:bCs/>
          <w:i/>
          <w:iCs/>
          <w:sz w:val="26"/>
          <w:szCs w:val="26"/>
        </w:rPr>
        <w:t>A.</w:t>
        <w:tab/>
        <w:t>Unbundling to Eradicate Undue Discrimination Is Needed More Acutely in the Electric Power Industry Today than It Was for the Less Integrated Natural Gas Industry before Order No. 636</w:t>
      </w:r>
      <w:r>
        <w:fldChar w:fldCharType="begin"/>
      </w:r>
      <w:r>
        <w:rPr/>
        <w:instrText xml:space="preserve"> TC "A.</w:instrText>
        <w:tab/>
        <w:instrText xml:space="preserve">Unbundling to Eradicate Undue Discrimination Is Needed More Acutely in the Electric Power Industry Today than It Was for the Less Integrated Natural Gas Industry before Order No. 636"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Perpetuation of a dual market, one bundled, the other not, finds a parallel in the Commission’s experience in restructuring the natural gas industry.  Following introduction of open-access pipeline transportation per Order No. 436, discrimination persisted and service comparability continued to elude gas markets: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sz w:val="24"/>
        </w:rPr>
        <w:t xml:space="preserve">[T]he firm transportation embedded within the </w:t>
      </w:r>
      <w:r>
        <w:rPr>
          <w:i/>
          <w:iCs/>
          <w:sz w:val="24"/>
        </w:rPr>
        <w:t xml:space="preserve">pipelines’ bundled, city-gate, firm sales service is superior </w:t>
      </w:r>
      <w:r>
        <w:rPr>
          <w:sz w:val="24"/>
        </w:rPr>
        <w:t>to the pipeline’s open-access firm transportation service.  This means that pipelines and other gas suppliers are not competing on an even basis for sales customers, even where firm transportation is available to move the gas sold by the pipelines’ competitors.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iCs/>
          <w:sz w:val="24"/>
        </w:rPr>
        <w:t xml:space="preserve">Order No. 636 </w:t>
      </w:r>
      <w:r>
        <w:rPr>
          <w:sz w:val="24"/>
        </w:rPr>
        <w:t xml:space="preserve">at 30,402 (emphasis added).  Not until the Commission in Order No. 636 unbundled transportation completely from both the pipeline’s wholesales </w:t>
      </w:r>
      <w:r>
        <w:rPr>
          <w:i/>
          <w:iCs/>
          <w:sz w:val="24"/>
        </w:rPr>
        <w:t>and its direct retail sales</w:t>
      </w:r>
      <w:r>
        <w:rPr>
          <w:sz w:val="24"/>
        </w:rPr>
        <w:t xml:space="preserve"> was it able to achieve “an even basis for competition.”  </w:t>
      </w:r>
      <w:r>
        <w:rPr>
          <w:i/>
          <w:iCs/>
          <w:sz w:val="24"/>
        </w:rPr>
        <w:t>Id.; see</w:t>
      </w:r>
      <w:r>
        <w:rPr>
          <w:sz w:val="24"/>
        </w:rPr>
        <w:t xml:space="preserve"> 18 C.F.R. § 284.10 (1994) (requiring pipelines to phase in conversion rights for all firm sales service customers whose contracts preceded Order No. 436).</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Open access </w:t>
      </w:r>
      <w:r>
        <w:rPr>
          <w:i/>
          <w:iCs/>
          <w:sz w:val="24"/>
        </w:rPr>
        <w:t>alone</w:t>
      </w:r>
      <w:r>
        <w:rPr>
          <w:sz w:val="24"/>
        </w:rPr>
        <w:t xml:space="preserve"> did not uproot the incentives for pipelines to discriminate in favor of their own sales and against third-party shippers.  Likewise, open-access electricity transmission and partial wholesale service unbundling have not and cannot establish comparability between the bundled transmission service that transmission-owning utilities use to serve their captive customers and the wholesale and unbundled retail transmission services that they provide to others.  The need to take the next step -- the Order No. 636 step -- toward complete operational unbundling is even more acute in the power industry than it ever was in the case of natural gas</w:t>
      </w:r>
      <w:r>
        <w:rPr>
          <w:i/>
          <w:iCs/>
          <w:sz w:val="24"/>
        </w:rPr>
        <w:t xml:space="preserve"> </w:t>
      </w:r>
      <w:r>
        <w:rPr>
          <w:sz w:val="24"/>
        </w:rPr>
        <w:t>pipelines.  Up until Order No. 636, natural gas pipelines bundled services, but only the wholesale natural gas market and the pipeline transportation market; much of production and all of local distribution were independent and not within the vertically integrated operations of the interstate pipelines.  This limited bundling offered fewer incentives and opportunities for favoritism and discrimination than exist in the traditional, fully integrated electric power industry.  Nonetheless, it was only with Order No. 636, when pipelines became fully unbundled carriers, that natural gas shippers and purchasers gained access to transportation rights that were clearly defined, reliable, transparently priced, and truly comparable.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Discrimination will persist in the power industry so long as the pecuniary incentive to discriminate in favor of yourself or your affiliate or against a competitor remains great and the risk of detection and disgorgement is slight.  Discrimination will persist until there is complete unbundling and consumers of </w:t>
      </w:r>
      <w:r>
        <w:rPr>
          <w:i/>
          <w:iCs/>
          <w:sz w:val="24"/>
        </w:rPr>
        <w:t>all</w:t>
      </w:r>
      <w:r>
        <w:rPr>
          <w:sz w:val="24"/>
        </w:rPr>
        <w:t xml:space="preserve"> transmission services, wholesale and retail, take service pursuant to the same tariff at posted rates.  The Commission’s authority </w:t>
      </w:r>
      <w:r>
        <w:rPr>
          <w:i/>
          <w:iCs/>
          <w:sz w:val="24"/>
        </w:rPr>
        <w:t>and responsibility</w:t>
      </w:r>
      <w:r>
        <w:rPr>
          <w:sz w:val="24"/>
        </w:rPr>
        <w:t xml:space="preserve"> under the FPA to address discriminatory differences between wholesale and retail markets is well established in the prevailing decisional precedents. </w:t>
      </w:r>
      <w:r>
        <w:rPr>
          <w:i/>
          <w:iCs/>
          <w:sz w:val="24"/>
        </w:rPr>
        <w:t xml:space="preserve"> See, e.g., Conway Corp.,</w:t>
      </w:r>
      <w:r>
        <w:rPr>
          <w:sz w:val="24"/>
        </w:rPr>
        <w:t xml:space="preserve"> 426 U.S. at 273.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6"/>
          <w:szCs w:val="26"/>
        </w:rPr>
      </w:pPr>
      <w:r>
        <w:rPr>
          <w:b/>
          <w:bCs/>
          <w:i/>
          <w:iCs/>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i/>
          <w:i/>
          <w:iCs/>
          <w:sz w:val="26"/>
          <w:szCs w:val="26"/>
        </w:rPr>
      </w:pPr>
      <w:r>
        <w:rPr>
          <w:b/>
          <w:bCs/>
          <w:i/>
          <w:iCs/>
          <w:sz w:val="26"/>
          <w:szCs w:val="26"/>
        </w:rPr>
        <w:t>B.</w:t>
        <w:tab/>
        <w:t>The Same Authority that the Commission Wielded under the Natural Gas Act to Extend Nondiscriminatory Open Access to Fully Unbundled Transportation Service Is Equally Available under the Federal Power Act</w:t>
      </w:r>
      <w:r>
        <w:fldChar w:fldCharType="begin"/>
      </w:r>
      <w:r>
        <w:rPr/>
        <w:instrText xml:space="preserve"> TC "B.</w:instrText>
        <w:tab/>
        <w:instrText xml:space="preserve">The Same Authority that the Commission Wielded under the Natural Gas Act to Extend Nondiscriminatory Open Access to Fully Unbundled Transportation Service Is Equally Available under the Federal Power Act"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iCs/>
          <w:sz w:val="26"/>
          <w:szCs w:val="26"/>
        </w:rPr>
      </w:pPr>
      <w:r>
        <w:rPr>
          <w:i/>
          <w:iCs/>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Commission’s failure to unbundle and extend nondiscriminatory open access to all transmission, including transmission to retail customers, is inexplicably at odds with the decisional precedents under the Natural Gas Act (“NGA”).  In </w:t>
      </w:r>
      <w:r>
        <w:rPr>
          <w:i/>
          <w:iCs/>
          <w:sz w:val="24"/>
        </w:rPr>
        <w:t>Mississippi River Transmission Corp. v. FERC</w:t>
      </w:r>
      <w:r>
        <w:rPr>
          <w:sz w:val="24"/>
        </w:rPr>
        <w:t>, 969 F.2d 1215 (D.C. Cir. 1992), the court affirmed the Commission’s interpretation of NGA section 1(b), 15 U.S.C. § 717(b) (1988), as authorizing the Commission to regulate the price of transportation service that Mississippi River Transmission (“MRT”), a jurisdictional pipeline, provided in support of certain firm direct sales.  In relevant part, NGA section 1(b) is identical to FPA section 201(b):  “The provision of this chapter shall apply to the transportation of natural gas in interstate commerce . . . .”  Based on this broad grant of jurisdiction, the court held that: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sz w:val="24"/>
        </w:rPr>
        <w:t xml:space="preserve">FERC is </w:t>
      </w:r>
      <w:r>
        <w:rPr>
          <w:i/>
          <w:iCs/>
          <w:sz w:val="24"/>
        </w:rPr>
        <w:t>not</w:t>
      </w:r>
      <w:r>
        <w:rPr>
          <w:sz w:val="24"/>
        </w:rPr>
        <w:t xml:space="preserve"> barred from regulating a pipeline’s interstate transportation of natural gas merely because the sale of the gas being transported is not itself subject to federal regulation.  FERC’s authority over such transactions is beyond dispute.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sz w:val="24"/>
        </w:rPr>
        <w:t xml:space="preserve">969 F.2d at 1217 (emphasis added) (citing </w:t>
      </w:r>
      <w:r>
        <w:rPr>
          <w:i/>
          <w:iCs/>
          <w:sz w:val="24"/>
        </w:rPr>
        <w:t>FPC v. East Ohio Gas Co.,</w:t>
      </w:r>
      <w:r>
        <w:rPr>
          <w:sz w:val="24"/>
        </w:rPr>
        <w:t xml:space="preserve"> 338 U.S. 464, 468 (1950)); </w:t>
      </w:r>
      <w:r>
        <w:rPr>
          <w:i/>
          <w:iCs/>
          <w:sz w:val="24"/>
        </w:rPr>
        <w:t>accord</w:t>
      </w:r>
      <w:r>
        <w:rPr>
          <w:sz w:val="24"/>
        </w:rPr>
        <w:t xml:space="preserve"> </w:t>
      </w:r>
      <w:r>
        <w:rPr>
          <w:i/>
          <w:iCs/>
          <w:sz w:val="24"/>
        </w:rPr>
        <w:t>Alabama Tennessee Natural Gas Co.</w:t>
      </w:r>
      <w:r>
        <w:rPr>
          <w:sz w:val="24"/>
        </w:rPr>
        <w:t xml:space="preserve">, 64 F.E.R.C. ¶ 61,084 at 61,846 (1993); </w:t>
      </w:r>
      <w:r>
        <w:rPr>
          <w:i/>
          <w:iCs/>
          <w:sz w:val="24"/>
        </w:rPr>
        <w:t>Carnegie Natural Gas Co.,</w:t>
      </w:r>
      <w:r>
        <w:rPr>
          <w:sz w:val="24"/>
        </w:rPr>
        <w:t xml:space="preserve"> 63 F.E.R.C. ¶ 61,103 at 61,612 (1993).  The court expressly rejected MRT’s contention that the Commission’s NGA § 1(b) jurisdiction to regulate the price, terms and conditions of interstate transportation is divested whenever the transportation is bundled with a non-jurisdictional retail sale.  The court found this contention untenable as it would invite private parties to game the Commission’s jurisdiction:</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sz w:val="24"/>
        </w:rPr>
        <w:t xml:space="preserve">As far as the statute is concerned, there would have been no doubt of FERC’s section 1(b) authority if MRT, instead of charging a bundled price, had charged separately for transporting the gas and for the gas itself.  To accept MRT’s position would therefore be </w:t>
      </w:r>
      <w:r>
        <w:rPr>
          <w:i/>
          <w:iCs/>
          <w:sz w:val="24"/>
        </w:rPr>
        <w:t>tantamount to conferring on private parties the power to decide whether FERC could set the rate for interstate transportation</w:t>
      </w:r>
      <w:r>
        <w:rPr>
          <w:sz w:val="24"/>
        </w:rPr>
        <w:t>.  Private parties would have this power because it would be entirely up to them whether to structure a direct sale and interstate-transportation transaction in terms of a bundled price or separate charges.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iCs/>
          <w:sz w:val="24"/>
        </w:rPr>
        <w:t>Id.</w:t>
      </w:r>
      <w:r>
        <w:rPr>
          <w:sz w:val="24"/>
        </w:rPr>
        <w:t xml:space="preserve"> at 1218 (emphasis added).</w:t>
      </w:r>
      <w:r>
        <w:rPr>
          <w:rStyle w:val="FootnoteCharacters"/>
          <w:rStyle w:val="FootnoteReference"/>
          <w:sz w:val="24"/>
          <w:vertAlign w:val="superscript"/>
        </w:rPr>
        <w:footnoteReference w:id="15"/>
      </w:r>
      <w:r>
        <w:rPr>
          <w:sz w:val="24"/>
        </w:rPr>
        <w:t xml:space="preserve">  Just as the Commission’s NGA jurisdiction to regulate natural gas transportation to retail customers was “beyond dispute” in </w:t>
      </w:r>
      <w:r>
        <w:rPr>
          <w:i/>
          <w:iCs/>
          <w:sz w:val="24"/>
        </w:rPr>
        <w:t>Mississippi River,</w:t>
      </w:r>
      <w:r>
        <w:rPr>
          <w:sz w:val="24"/>
        </w:rPr>
        <w:t xml:space="preserve"> the Commission’s FPA § 201(b) jurisdiction to unbundle and regulate </w:t>
      </w:r>
      <w:r>
        <w:rPr>
          <w:i/>
          <w:iCs/>
          <w:sz w:val="24"/>
        </w:rPr>
        <w:t>all</w:t>
      </w:r>
      <w:r>
        <w:rPr>
          <w:sz w:val="24"/>
        </w:rPr>
        <w:t xml:space="preserve"> transmission in interstate commerce is legally beyond dispute.  There is no rational basis for regulating differently undifferentiated uses of the interstate transmission lines.  Achieving and policing comparability and open access will require the Commission to go beyond artificial distinctions between wholesale and retail transactions and insist that all transmission service be provided on a comparable, non-discriminatory basis.  This can only be accomplished by unbundling transmission from all power transactions.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sz w:val="24"/>
        </w:rPr>
      </w:pPr>
      <w:r>
        <w:rPr>
          <w:b/>
          <w:bCs/>
          <w:sz w:val="28"/>
          <w:szCs w:val="28"/>
        </w:rPr>
        <w:t>II.</w:t>
        <w:tab/>
        <w:t>TWO SEPARATE REGULATORY REGIMES FOR INTERSTATE TRANSMISSION</w:t>
      </w:r>
      <w:r>
        <w:rPr>
          <w:sz w:val="28"/>
          <w:szCs w:val="28"/>
        </w:rPr>
        <w:t xml:space="preserve"> </w:t>
      </w:r>
      <w:r>
        <w:rPr>
          <w:b/>
          <w:bCs/>
          <w:sz w:val="28"/>
          <w:szCs w:val="28"/>
        </w:rPr>
        <w:t>INVITE DISCRIMINATION AND AN UNLAWFUL DELEGATION OF COMMISSION JURISDICTION</w:t>
      </w:r>
      <w:r>
        <w:fldChar w:fldCharType="begin"/>
      </w:r>
      <w:r>
        <w:rPr/>
        <w:instrText xml:space="preserve"> TC "II.</w:instrText>
        <w:tab/>
        <w:instrText xml:space="preserve">TWO SEPARATE REGULATORY REGIMES FOR INTERSTATE TRANSMISSION INVITE DISCRIMINATION AND AN UNLAWFUL DELEGATION OF COMMISSION JURISDICTION"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sz w:val="26"/>
          <w:szCs w:val="26"/>
        </w:rPr>
      </w:pPr>
      <w:r>
        <w:rPr>
          <w:b/>
          <w:bCs/>
          <w:i/>
          <w:iCs/>
          <w:sz w:val="26"/>
          <w:szCs w:val="26"/>
        </w:rPr>
        <w:t>A.</w:t>
        <w:tab/>
        <w:t>Permitting Bundled Transmission to Escape Non-discriminatory Open-Access Is an Unwise and Unlawful Delegation of Commission Jurisdiction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szCs w:val="26"/>
        </w:rPr>
      </w:pPr>
      <w:r>
        <w:rPr>
          <w:sz w:val="24"/>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Most uses of the interconnected electric transmission grid are in connection with bundled sales of power that vertically integrated utilities generate, transmit, distribute, meter and sell to their captive retail customers.  These sales account for more than 80 percent of all electricity transmitted; in contrast, less than 20 percent of the uses of the transmission system are in connection with unbundled wholesale transactions.</w:t>
      </w:r>
      <w:r>
        <w:rPr>
          <w:rStyle w:val="FootnoteCharacters"/>
          <w:rStyle w:val="FootnoteReference"/>
          <w:sz w:val="24"/>
          <w:vertAlign w:val="superscript"/>
        </w:rPr>
        <w:footnoteReference w:id="16"/>
      </w:r>
      <w:r>
        <w:rPr>
          <w:sz w:val="24"/>
        </w:rPr>
        <w:t xml:space="preserve">  Under Order No. 888, this means that the Commission only exercises its jurisdiction to regulate on an unbundled basis less than 20 percent of the transmission of electric energy in interstate commerce.  Of the over 80 percent that is sold to retail customers, the Commission will exercise jurisdiction only over the transmission component of the small number of transactions that have been unbundled voluntarily or in response to state regulatory directives (often in connection with customer choice programs).  Conversely, where a state perpetuates bundled service to captive retail customers, the Commission relinquishes its authority to regulate transmission service to state or local regulators or legislators that control when and whether to introduce retail competition.  Thus, as nondiscriminatory open access is currently enforced under Order No. 888, the scope of the Commission’s transmission jurisdiction is predominantly a function of state regulatory policy.  This amounts to an impermissible delegation of the Commission’s responsibility to ensure that all transmission service is offered on a basis that is not unduly discriminatory.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Until now, the Commission has chosen to apply a narrow reading to its jurisdictional mandate over all transmission, and an expansive reading to the statute’s jurisdictional exception for retail sales.  As a result, the jurisdiction of the Commission over transmission and the scope of its authority to remedy undue discrimination through nondiscriminatory open access varies depending upon a state’s choice regarding when and whether to unbundle.  In </w:t>
      </w:r>
      <w:r>
        <w:rPr>
          <w:i/>
          <w:iCs/>
          <w:sz w:val="24"/>
        </w:rPr>
        <w:t>Phillips Petroleum v. Wisconsin</w:t>
      </w:r>
      <w:r>
        <w:rPr>
          <w:sz w:val="24"/>
        </w:rPr>
        <w:t xml:space="preserve">, 347 U.S. 672 (1954), the Supreme Court confronted a comparable question as to the scope of the Commission’s jurisdiction.  It stated that “the jurisdiction of the Federal Power Commission was not intended to vary from state to state, depending upon the degree of state regulation and of state opposition to federal control.”  </w:t>
      </w:r>
      <w:r>
        <w:rPr>
          <w:i/>
          <w:iCs/>
          <w:sz w:val="24"/>
        </w:rPr>
        <w:t>Id</w:t>
      </w:r>
      <w:r>
        <w:rPr>
          <w:sz w:val="24"/>
        </w:rPr>
        <w:t xml:space="preserve">. at 681.  In the proposed rulemaking, the Commission should confirm its plenary regulatory authority over </w:t>
      </w:r>
      <w:r>
        <w:rPr>
          <w:i/>
          <w:iCs/>
          <w:sz w:val="24"/>
        </w:rPr>
        <w:t>all</w:t>
      </w:r>
      <w:r>
        <w:rPr>
          <w:sz w:val="24"/>
        </w:rPr>
        <w:t xml:space="preserve"> transmission and put an end to the current system that makes its jurisdiction vary from state to state depending on state regulatory policy.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sz w:val="24"/>
        </w:rPr>
      </w:pPr>
      <w:r>
        <w:rPr>
          <w:b/>
          <w:bCs/>
          <w:i/>
          <w:iCs/>
          <w:sz w:val="26"/>
          <w:szCs w:val="26"/>
        </w:rPr>
        <w:t>B.</w:t>
        <w:tab/>
        <w:t>Extending Nondiscriminatory Open-Access to All Transmission Is Consistent with Decisional Precedents and the Operational Reality of the Grid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FPA section 201 confers on the Commission plenary authority over all facilities used for the interstate transmission of electric energy.</w:t>
      </w:r>
      <w:r>
        <w:rPr>
          <w:rStyle w:val="FootnoteCharacters"/>
          <w:rStyle w:val="FootnoteReference"/>
          <w:sz w:val="24"/>
          <w:vertAlign w:val="superscript"/>
        </w:rPr>
        <w:footnoteReference w:id="17"/>
      </w:r>
      <w:r>
        <w:rPr>
          <w:sz w:val="24"/>
        </w:rPr>
        <w:t xml:space="preserve">  The statute contains no limitation on the Commission’s jurisdiction over interstate transmission; only “local distribution” is excluded.  As it now stands, however, the Commission will assert jurisdiction over interstate  transmission of power that does not enter the wholesale market only when the transmission service has been unbundled voluntarily or at the directive of state authorities.  If the state has not unbundled transmission, the Commission will not assert jurisdiction.  This current practice puts the states in the position of determining whether or not the Commission asserts jurisdiction over transmission in interstate commerce.  This delegation of authority ignores the statute’s broad jurisdictional charge, which the Commission elsewhere has recognized it “cannot delegate.”  </w:t>
      </w:r>
      <w:r>
        <w:rPr>
          <w:i/>
          <w:iCs/>
          <w:sz w:val="24"/>
        </w:rPr>
        <w:t>Order No. 888-A</w:t>
      </w:r>
      <w:r>
        <w:rPr>
          <w:sz w:val="24"/>
        </w:rPr>
        <w:t>, III F.E.R.C. Stats. &amp; Regs. at 30,345.</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In Order No. 888, the Commission discussed at length the reach of its transmission jurisdiction.  </w:t>
      </w:r>
      <w:r>
        <w:rPr>
          <w:i/>
          <w:iCs/>
          <w:sz w:val="24"/>
        </w:rPr>
        <w:t>See</w:t>
      </w:r>
      <w:r>
        <w:rPr>
          <w:sz w:val="24"/>
        </w:rPr>
        <w:t xml:space="preserve"> App. G</w:t>
      </w:r>
      <w:r>
        <w:rPr>
          <w:i/>
          <w:iCs/>
          <w:sz w:val="24"/>
        </w:rPr>
        <w:t>, Order No. 888</w:t>
      </w:r>
      <w:r>
        <w:rPr>
          <w:sz w:val="24"/>
        </w:rPr>
        <w:t xml:space="preserve">, [1991-96 Regs. Preambles] F.E.R.C. Stats. &amp; Regs. at 31,966.  It recognized that “the statute on its face limits Commission jurisdiction over sales of energy to sales at wholesale, but does not limit jurisdiction over transmission to transmission used only for wholesale sales.”  </w:t>
      </w:r>
      <w:r>
        <w:rPr>
          <w:i/>
          <w:iCs/>
          <w:sz w:val="24"/>
        </w:rPr>
        <w:t>Id</w:t>
      </w:r>
      <w:r>
        <w:rPr>
          <w:sz w:val="24"/>
        </w:rPr>
        <w:t xml:space="preserve">. at 31,966 - 67.  Despite this unremarkable conclusion, the Commission opted not to subject bundled transmission to nondiscriminatory open access because the FPA denies the Commission jurisdiction over retail </w:t>
      </w:r>
      <w:r>
        <w:rPr>
          <w:i/>
          <w:iCs/>
          <w:sz w:val="24"/>
        </w:rPr>
        <w:t>sales</w:t>
      </w:r>
      <w:r>
        <w:rPr>
          <w:sz w:val="24"/>
        </w:rPr>
        <w:t>.  “[R]etail sales,” the Commission observed, “historically have been bundled sales (</w:t>
      </w:r>
      <w:r>
        <w:rPr>
          <w:i/>
          <w:iCs/>
          <w:sz w:val="24"/>
        </w:rPr>
        <w:t>i.e.</w:t>
      </w:r>
      <w:r>
        <w:rPr>
          <w:sz w:val="24"/>
        </w:rPr>
        <w:t xml:space="preserve">, generation and transmission), and courts and the Commission have recognized State jurisdiction over bundled sales of energy.”  </w:t>
      </w:r>
      <w:r>
        <w:rPr>
          <w:i/>
          <w:iCs/>
          <w:sz w:val="24"/>
        </w:rPr>
        <w:t>Id</w:t>
      </w:r>
      <w:r>
        <w:rPr>
          <w:sz w:val="24"/>
        </w:rPr>
        <w:t>. at 31,969.  With this confusion of interstate transmission jurisdiction and sales jurisdiction, the Commission concluded its discussion; it provided no further explanation as to why the interstate transmission component of  bundled and unbundled wholesale and retail power sales  are different for jurisdictional purposes under the FPA.</w:t>
      </w:r>
      <w:r>
        <w:rPr>
          <w:rStyle w:val="FootnoteCharacters"/>
          <w:rStyle w:val="FootnoteReference"/>
          <w:sz w:val="24"/>
          <w:vertAlign w:val="superscript"/>
        </w:rPr>
        <w:footnoteReference w:id="18"/>
      </w:r>
      <w:r>
        <w:rPr>
          <w:sz w:val="24"/>
        </w:rPr>
        <w:t xml:space="preserve">  This cursory analysis simply does not and cannot support the Commission’s apparent conclusion that it must defer to state regulation of bundled transmission and confine nondiscriminatory open access to the relatively small universe of transmission that is used for unbundled transactions.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Commission’s foundation for not asserting jurisdiction over all transmission appears to rest on decisional precedents implicitly sanctioning the past Commission practice of not asserting  jurisdiction over bundled transmission to retail customers.  The Commission cited </w:t>
      </w:r>
      <w:r>
        <w:rPr>
          <w:i/>
          <w:iCs/>
          <w:sz w:val="24"/>
        </w:rPr>
        <w:t>United Distribution Cos. v. FERC</w:t>
      </w:r>
      <w:r>
        <w:rPr>
          <w:sz w:val="24"/>
        </w:rPr>
        <w:t xml:space="preserve">, 88 F.3d 1105 (D.C. Cir. 1996), in which Petitioners challenged the Commission’s jurisdiction over the transportation component of unbundled natural gas pipeline services.  </w:t>
      </w:r>
      <w:r>
        <w:rPr>
          <w:i/>
          <w:iCs/>
          <w:sz w:val="24"/>
        </w:rPr>
        <w:t>Order No. 888-A</w:t>
      </w:r>
      <w:r>
        <w:rPr>
          <w:sz w:val="24"/>
        </w:rPr>
        <w:t xml:space="preserve">, III F.E.R.C. Stats. &amp; Regs. at 30,340.  Rejecting Petitioners’ arguments in that case, the court found the Commission’s explanation of the regulatory environment “convincing,” in particular the historical division between the Commission’s authority to regulate unbundled transportation and the states’ authority to regulate bundled retail sales, of which natural gas transportation is one component.  </w:t>
      </w:r>
      <w:r>
        <w:rPr>
          <w:i/>
          <w:iCs/>
          <w:sz w:val="24"/>
        </w:rPr>
        <w:t xml:space="preserve">United Distribution, </w:t>
      </w:r>
      <w:r>
        <w:rPr>
          <w:sz w:val="24"/>
        </w:rPr>
        <w:t xml:space="preserve">88 F.3d at 1152-53.  It should be noted, however, that the Petitioners in </w:t>
      </w:r>
      <w:r>
        <w:rPr>
          <w:i/>
          <w:iCs/>
          <w:sz w:val="24"/>
        </w:rPr>
        <w:t>United Distribution</w:t>
      </w:r>
      <w:r>
        <w:rPr>
          <w:sz w:val="24"/>
        </w:rPr>
        <w:t xml:space="preserve"> were advocating a limitation on the Commission’s jurisdiction to regulate the transportation component of formerly bundled natural gas sales.  Properly read, </w:t>
      </w:r>
      <w:r>
        <w:rPr>
          <w:i/>
          <w:iCs/>
          <w:sz w:val="24"/>
        </w:rPr>
        <w:t>United Distribution</w:t>
      </w:r>
      <w:r>
        <w:rPr>
          <w:sz w:val="24"/>
        </w:rPr>
        <w:t xml:space="preserve"> simply validates Commission jurisdiction over </w:t>
      </w:r>
      <w:r>
        <w:rPr>
          <w:i/>
          <w:iCs/>
          <w:sz w:val="24"/>
        </w:rPr>
        <w:t>un</w:t>
      </w:r>
      <w:r>
        <w:rPr>
          <w:sz w:val="24"/>
        </w:rPr>
        <w:t xml:space="preserve">bundled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t>transportation; it does not proscribe the assertion of Commission jurisdiction over bundled transportation.</w:t>
      </w:r>
      <w:r>
        <w:rPr>
          <w:rStyle w:val="FootnoteCharacters"/>
          <w:rStyle w:val="FootnoteReference"/>
          <w:sz w:val="24"/>
          <w:vertAlign w:val="superscript"/>
        </w:rPr>
        <w:footnoteReference w:id="19"/>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So long as neither the Commission nor state regulators conceived that bundled service to captive retail customers could be broken down into its component parts, including transmission, the Commission’s failure to assert jurisdiction over the transmission component of bundled retail power service was both pragmatic and understandable.  Jurisdiction not yet perceived to exist could not be relinquished; there was no impermissible delegation.  Today, however, its is simply untenable to construe the Commission’s jurisdiction under the FPA as if interstate transmission is inextricable from retail sales by vertically integrated utilities.  There is no basis for continuing to conceive of the industry in this antiquated structure.  Indeed, it is particularly unjustifiable to do so in light of the Commission’s recognition -- and that of the DOJ and BE/FTC -- that two markets for transmission -- one explicit and the other implicit -- invite discrimination.  </w:t>
      </w:r>
      <w:r>
        <w:rPr>
          <w:i/>
          <w:iCs/>
          <w:sz w:val="24"/>
        </w:rPr>
        <w:t>Open-Access NOPR,</w:t>
      </w:r>
      <w:r>
        <w:rPr>
          <w:sz w:val="24"/>
        </w:rPr>
        <w:t xml:space="preserve"> IV F.E.R.C. at 33,081; </w:t>
      </w:r>
      <w:r>
        <w:rPr>
          <w:i/>
          <w:iCs/>
          <w:sz w:val="24"/>
        </w:rPr>
        <w:t>see Order No. 888,</w:t>
      </w:r>
      <w:r>
        <w:rPr>
          <w:sz w:val="24"/>
        </w:rPr>
        <w:t xml:space="preserve"> [1991-96 Regs. Preambles] F.E.R.C. Stats. &amp; Regs. at 31,699.  Transmission is a separate and separable component of practically every delivery of  electric power.  Failing to make the implicit transmission component of retail sales explicit and subject to the “golden rule” of service comparability cannot  be justified.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sz w:val="24"/>
        </w:rPr>
      </w:pPr>
      <w:r>
        <w:rPr>
          <w:rFonts w:cs="Times New Roman" w:ascii="Times New Roman" w:hAnsi="Times New Roman"/>
          <w:b/>
          <w:bCs/>
          <w:i/>
          <w:iCs/>
          <w:sz w:val="24"/>
        </w:rPr>
        <w:t>C.</w:t>
        <w:tab/>
        <w:t xml:space="preserve">The Commission Must End the Ability of Vertically Integrated Utilities to Use  Native Load Privileges to Block Competitors Access to the Most Valuable Segment of the Transmission Grid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sz w:val="24"/>
        </w:rPr>
        <w:t>There are a number of strategic regional markets in which new entrants have been unable to penetrate precisely because regional, vertically integrated utilities with captive customers are able to “block” ATC across particularly valuable interconnections by heavily scheduling across the interconnection in the name of service to native load.</w:t>
      </w:r>
      <w:r>
        <w:rPr>
          <w:rStyle w:val="FootnoteCharacters"/>
          <w:rStyle w:val="FootnoteReference"/>
          <w:rFonts w:cs="Times New Roman" w:ascii="Times New Roman" w:hAnsi="Times New Roman"/>
          <w:sz w:val="24"/>
          <w:vertAlign w:val="superscript"/>
        </w:rPr>
        <w:footnoteReference w:id="20"/>
      </w:r>
      <w:r>
        <w:rPr>
          <w:rFonts w:cs="Times New Roman" w:ascii="Times New Roman" w:hAnsi="Times New Roman"/>
          <w:sz w:val="24"/>
        </w:rPr>
        <w:t xml:space="preserve">  By hiding transmission rights from the market behind claims of service to native load so that there is no ATC over a particular interface, the utility can block other purchasers within the utility’s system -- </w:t>
      </w:r>
      <w:r>
        <w:rPr>
          <w:rFonts w:cs="Times New Roman" w:ascii="Times New Roman" w:hAnsi="Times New Roman"/>
          <w:i/>
          <w:iCs/>
          <w:sz w:val="24"/>
        </w:rPr>
        <w:t>e.g.</w:t>
      </w:r>
      <w:r>
        <w:rPr>
          <w:rFonts w:cs="Times New Roman" w:ascii="Times New Roman" w:hAnsi="Times New Roman"/>
          <w:sz w:val="24"/>
        </w:rPr>
        <w:t>, a transmission dependent utility -- from accessing low-cost external sources of supply, thereby making itself the monopsony buyer for those external sellers.  In many instances, this same utility will turn around and sell power from its own internal resources to buyers on another side of its system.  The effect is to capture for the benefit of the transmission-owning utility access to external, low-cost power sources, by limiting potential competition at wholesale for these low-cost resources and thereby eliminating competition within its traditional service territory.  This would not be possible if all uses of the transmission system, including transmission connected to native load service, were subject to the same open-access rules and tariff.</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sz w:val="24"/>
        </w:rPr>
      </w:pPr>
      <w:r>
        <w:rPr>
          <w:rFonts w:cs="Times New Roman" w:ascii="Times New Roman" w:hAnsi="Times New Roman"/>
          <w:sz w:val="24"/>
        </w:rPr>
        <w:t>Petitioners are aware of numerous instances of utility merchant functions or marketing affiliates routinely reserving access to valuable transmission import paths, under the guise of obtaining power for native load needs, only to simultaneously export the utility’s own generation from the same control area in amounts equal to or greater than the imports.  Certain of these instances are recounted in App. D.  It is bad enough that, by importing power under a  native load or network service designation and then exporting it at the same time with point-to-point service, the utility wholesale merchant operations or its marketing affiliate gains access to a higher priority of service than is available to the rest of the market for power wheels on a given corridor.  Even more injurious to competition is the fact that, by misusing the native load exclusion, the utility can prevent transmission capacity from ever making it to the market, thereby limiting competition across these paths, and in effect cornering the opportunity to buy and wheel-in cheaper power from one adjoining area.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rFonts w:cs="Times New Roman" w:ascii="Times New Roman" w:hAnsi="Times New Roman"/>
          <w:sz w:val="24"/>
        </w:rPr>
        <w:t>Vertically integrated utilities with captive customers should not be able to use their native load exclusion as a vehicle for wheeling transactions, or for blocking a valuable interface by simultaneously buying across that interface for native load while selling its own equivalent resources into the economy interchange across an interface elsewhere on its system.  Such predatory uses of native load privileges not only allow utility affiliates to game scheduling priorities, but they also effectively defeat open access to many of the most valuable segments of the transmission grid.</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b/>
          <w:bCs/>
          <w:i/>
          <w:iCs/>
          <w:sz w:val="26"/>
          <w:szCs w:val="26"/>
        </w:rPr>
        <w:t>D.</w:t>
        <w:tab/>
        <w:t>The Current Rule Permits (and May Invite) Regulatory Forum Shopping</w:t>
      </w:r>
      <w:r>
        <w:fldChar w:fldCharType="begin"/>
      </w:r>
      <w:r>
        <w:rPr/>
        <w:instrText xml:space="preserve"> TC "D.</w:instrText>
        <w:tab/>
        <w:instrText xml:space="preserve">The Current Rule Permits (and May Invite) Regulatory Forum Shopping" \l 2 </w:instrText>
      </w:r>
      <w:r>
        <w:rPr/>
        <w:fldChar w:fldCharType="separate"/>
      </w:r>
      <w:r>
        <w:rPr/>
      </w:r>
      <w:r>
        <w:rPr/>
        <w:fldChar w:fldCharType="end"/>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Order No. 888 confers on most transmission-owning utilities a choice as to which forum will regulate its uses of the transmission system.  This choice is not available to their non-transmission-owning competitors.  Order No. 888 creates this discriminatory choice by exempting from nondiscriminatory open access the transmission-owning utilities’ uses of the transmission service for vertically integrated retail services.  The majority of today’s vertically integrated transmission-owning electric utilities have marketing affiliates.  These utilities can elect to acquire power and transmission for captive retail customers through their vertically integrated structure and thereby obtain state regulation of their transmission services.  Alternatively, by structuring some or all acquisitions of energy and capacity for captive retail customers as transactions through the marketing affiliate, the affiliate can secure nondiscriminatory open-access service as regulated by this Commission.  These opportunities for regulatory forum shopping are not available to new entrants and other non-traditional market participants, and therefore invite abuse.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A case in point is the pending request of California’s investor-owned utilities (made in connection with the restructuring of the California market) asking this Commission to defer to transmission rates that the California Public Utilities Commission set for service to retail customers.  Joint Phase II Filing of Pacific Gas &amp; Electric Co., Southern California Edison Co., and San Diego Gas &amp; Electric Co., Docket Nos. EC96-19-000, ER96-1663-000, </w:t>
      </w:r>
      <w:r>
        <w:rPr>
          <w:i/>
          <w:iCs/>
          <w:sz w:val="24"/>
        </w:rPr>
        <w:t>Transmittal Letter</w:t>
      </w:r>
      <w:r>
        <w:rPr>
          <w:sz w:val="24"/>
        </w:rPr>
        <w:t xml:space="preserve">, at 5 (Mar. 31,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t>1997).  If not rejected (as it should be), the request will result in three federal wholesale transmission rates and as many as three separate and different retail transmission rates -- one for each of the Golden State’s investor-owned utilities.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sz w:val="30"/>
          <w:szCs w:val="30"/>
        </w:rPr>
      </w:pPr>
      <w:r>
        <w:rPr>
          <w:b/>
          <w:bCs/>
          <w:sz w:val="30"/>
          <w:szCs w:val="30"/>
        </w:rPr>
        <w:t>III.</w:t>
        <w:tab/>
        <w:t>ALL TRANSMISSION SHOULD BE OFFERED PURSUANT TO THE SAME TARIFFS, RULES, AND INFORMATION SYSTEMS</w:t>
      </w:r>
      <w:r>
        <w:fldChar w:fldCharType="begin"/>
      </w:r>
      <w:r>
        <w:rPr/>
        <w:instrText xml:space="preserve"> TC "III.</w:instrText>
        <w:tab/>
        <w:instrText xml:space="preserve">ALL TRANSMISSION SHOULD BE OFFERED PURSUANT TO THE SAME TARIFFS, RULES, AND INFORMATION SYSTEMS"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iCs/>
          <w:sz w:val="26"/>
          <w:szCs w:val="26"/>
        </w:rPr>
      </w:pPr>
      <w:r>
        <w:rPr>
          <w:i/>
          <w:iCs/>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In the same manner as the interstate natural gas pipelines are required under Order No. 497, [1986-90 Regs. Preambles] F.E.R.C. Stats. &amp; Regs. ¶ 30,820, and Order No. 636, transmission-owning electric utilities should be required to implement tariffs, including OASIS reporting and reservation procedures, and Standards of Conduct that offer uniform transmission service for all transmission customers.  Vertically integrated utilities should be directed to treat non-affiliated marketing companies in a uniform fashion comparable to how they treat their own integrated merchant functions.  There should be no special dispensations, information or access for one retail provider’s captive load as opposed to the captive load of some other retail provider.  Indeed, the very concepts of </w:t>
      </w:r>
      <w:r>
        <w:rPr>
          <w:i/>
          <w:iCs/>
          <w:sz w:val="24"/>
        </w:rPr>
        <w:t>load server</w:t>
      </w:r>
      <w:r>
        <w:rPr>
          <w:sz w:val="24"/>
        </w:rPr>
        <w:t xml:space="preserve"> and </w:t>
      </w:r>
      <w:r>
        <w:rPr>
          <w:i/>
          <w:iCs/>
          <w:sz w:val="24"/>
        </w:rPr>
        <w:t>native load</w:t>
      </w:r>
      <w:r>
        <w:rPr>
          <w:sz w:val="24"/>
        </w:rPr>
        <w:t xml:space="preserve"> are anachronisms that should be replaced with the nomenclature of markets:</w:t>
      </w:r>
      <w:r>
        <w:rPr>
          <w:i/>
          <w:iCs/>
          <w:sz w:val="24"/>
        </w:rPr>
        <w:t xml:space="preserve"> seller</w:t>
      </w:r>
      <w:r>
        <w:rPr>
          <w:sz w:val="24"/>
        </w:rPr>
        <w:t xml:space="preserve"> and </w:t>
      </w:r>
      <w:r>
        <w:rPr>
          <w:i/>
          <w:iCs/>
          <w:sz w:val="24"/>
        </w:rPr>
        <w:t>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In this requested rulemaking, we ask the Commission specifically to:  (1) consolidate point-to-point and network service into a uniform system for offering tradable capacity rights; (2) make all uses of transmission systems subject to the uniform tariff and dependent upon the same OASIS for information concerning access to the transmission system;</w:t>
      </w:r>
      <w:r>
        <w:rPr>
          <w:rStyle w:val="FootnoteCharacters"/>
          <w:rStyle w:val="FootnoteReference"/>
          <w:sz w:val="24"/>
          <w:vertAlign w:val="superscript"/>
        </w:rPr>
        <w:footnoteReference w:id="21"/>
      </w:r>
      <w:r>
        <w:rPr>
          <w:sz w:val="24"/>
        </w:rPr>
        <w:t xml:space="preserve"> (3) direct system operators to improve ATC determinations; (4) require transmission system operators to offer under the uniform tariff the same hourly firm service that they themselves use to serve captive loads; and (5) increase the efficiency of scheduling service under the uniform tariff by directing transmission system operators to accommodate reservations and schedules that pool external resources and aggregate or “batch” transactions across interfaces.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bCs/>
          <w:sz w:val="24"/>
        </w:rPr>
      </w:pPr>
      <w:r>
        <w:rPr>
          <w:b/>
          <w:bCs/>
          <w:i/>
          <w:iCs/>
          <w:sz w:val="26"/>
          <w:szCs w:val="26"/>
        </w:rPr>
        <w:t>A.</w:t>
        <w:tab/>
        <w:t>The Commission Should Consolidate Point-to-Point and Network Service into a Single, Uniform Transmission Offerin</w:t>
      </w:r>
      <w:r>
        <w:fldChar w:fldCharType="begin"/>
      </w:r>
      <w:r>
        <w:rPr/>
        <w:instrText xml:space="preserve"> TC "A.</w:instrText>
        <w:tab/>
        <w:instrText xml:space="preserve">The Commission Should Consolidate Point-to-Point and Network Service into a Single, Uniform Transmission Offerin" \l 3 </w:instrText>
      </w:r>
      <w:r>
        <w:rPr/>
        <w:fldChar w:fldCharType="separate"/>
      </w:r>
      <w:r>
        <w:rPr/>
      </w:r>
      <w:r>
        <w:rPr/>
        <w:fldChar w:fldCharType="end"/>
      </w:r>
      <w:r>
        <w:rPr>
          <w:b/>
          <w:bCs/>
          <w:i/>
          <w:iCs/>
          <w:sz w:val="26"/>
          <w:szCs w:val="26"/>
        </w:rPr>
        <w:t>g Based on Tradable Reservations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Simultaneously with the issuance of Order Nos. 888 and 889, the Commission proposed another rule, the Capacity Reservation Tariff NOPR (“CRT Tariff”), which contemplated replacing the network and point-to-point services of the Order No. 888 </w:t>
      </w:r>
      <w:r>
        <w:rPr>
          <w:i/>
          <w:iCs/>
          <w:sz w:val="24"/>
        </w:rPr>
        <w:t>pro forma</w:t>
      </w:r>
      <w:r>
        <w:rPr>
          <w:sz w:val="24"/>
        </w:rPr>
        <w:t xml:space="preserve"> open-access transmission tariff with a single reservation transmission service for all system users.  </w:t>
      </w:r>
      <w:r>
        <w:rPr>
          <w:i/>
          <w:iCs/>
          <w:sz w:val="24"/>
        </w:rPr>
        <w:t>See Capacity Reservation Open-Access Transmission Tariffs</w:t>
      </w:r>
      <w:r>
        <w:rPr>
          <w:sz w:val="24"/>
        </w:rPr>
        <w:t>, Notice of Proposed Rulemaking, [Proposed Regs.] IV F.E.R.C. ¶ 32,519 at 33,229 (1996) [hereinafter cited as “</w:t>
      </w:r>
      <w:r>
        <w:rPr>
          <w:i/>
          <w:iCs/>
          <w:sz w:val="24"/>
        </w:rPr>
        <w:t>CRT NOPR</w:t>
      </w:r>
      <w:r>
        <w:rPr>
          <w:sz w:val="24"/>
        </w:rPr>
        <w:t xml:space="preserve">”].  The proposal to consolidate network and point-to-point service grew out of fundamental inconsistencies and inequalities inherent in the existing bifurcated tariff.  Those inconsistencies in service persist and are growing worse.  While the CRT Tariff proposal was seriously flawed, the time is now ripe to move ahead with a reservation-based transmission offering to replace the existing services under the </w:t>
      </w:r>
      <w:r>
        <w:rPr>
          <w:i/>
          <w:iCs/>
          <w:sz w:val="24"/>
        </w:rPr>
        <w:t xml:space="preserve">pro forma </w:t>
      </w:r>
      <w:r>
        <w:rPr>
          <w:sz w:val="24"/>
        </w:rPr>
        <w:t>tariff.</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In the CRT NOPR, the Commission articulated several reasons why it believes placing all transmission users on a reservation basis may be more consistent with nondiscriminatory open access and competitive restructuring.  First, the Commission suggested that reservation-based service may be more compatible with the final rule implementing the OASIS because reservations would assist public utilities in forecasting customer loads, thereby making it easier to calculate ATC values for the utilities’ systems.  Requiring each transmission customer, including the transmission provider, to specify how much transmission capacity it will need ensures that all customers are treated comparably without the transmission provider having to make forecasts only for a limited universe of customers.  The Commission acknowledged the risk that a reservation-based transmission service might lead to an underestimate of ATC because some customers might be induced to base reservations on an estimate of their maximum</w:t>
      </w:r>
      <w:r>
        <w:rPr>
          <w:i/>
          <w:iCs/>
          <w:sz w:val="24"/>
        </w:rPr>
        <w:t xml:space="preserve"> non-coincident</w:t>
      </w:r>
      <w:r>
        <w:rPr>
          <w:sz w:val="24"/>
        </w:rPr>
        <w:t xml:space="preserve"> peak load.  That risk, however, should not deter the Commission from moving forward with a consolidated, reservation-based tariff since the incentive to oversubscribe reservations can be eliminated by:  (1) making all reservations of firm service subject to payment at the time of the reservation (unless subsequently curtailed); (2) defining the reservations as use-or-lose rights; and (3) encouraging an active secondary market in which holders of reservation rights can sell them and system operators can offer unscheduled reservations on an interruptible basis.  Indeed, with access to a liquid secondary market, most loads or load-serving entities would find it prudent to reduce their reservations to </w:t>
      </w:r>
      <w:r>
        <w:rPr>
          <w:i/>
          <w:iCs/>
          <w:sz w:val="24"/>
        </w:rPr>
        <w:t>no</w:t>
      </w:r>
      <w:r>
        <w:rPr>
          <w:sz w:val="24"/>
        </w:rPr>
        <w:t xml:space="preserve"> </w:t>
      </w:r>
      <w:r>
        <w:rPr>
          <w:i/>
          <w:iCs/>
          <w:sz w:val="24"/>
        </w:rPr>
        <w:t>more than</w:t>
      </w:r>
      <w:r>
        <w:rPr>
          <w:sz w:val="24"/>
        </w:rPr>
        <w:t xml:space="preserve"> their </w:t>
      </w:r>
      <w:r>
        <w:rPr>
          <w:i/>
          <w:iCs/>
          <w:sz w:val="24"/>
        </w:rPr>
        <w:t>coincident</w:t>
      </w:r>
      <w:r>
        <w:rPr>
          <w:sz w:val="24"/>
        </w:rPr>
        <w:t xml:space="preserve"> peak.</w:t>
      </w:r>
      <w:r>
        <w:rPr>
          <w:rStyle w:val="FootnoteCharacters"/>
          <w:rStyle w:val="FootnoteReference"/>
          <w:sz w:val="24"/>
          <w:vertAlign w:val="superscript"/>
        </w:rPr>
        <w:footnoteReference w:id="22"/>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Further, the Commission recognized that placing all transmission customers on the same basis under the reservation-based system would eliminate discriminatory results that are obtained when the same service is offered pursuant to different pricing methodologies.  For example, if  a utility has two identical transmission customers, each with a load of 50 MW and each projecting that its load for the next year could be as low as 40 MW or as high as 60 MW, one utility may decide to take network service, while the other takes 60 MW of point-to-point service.  If these are the only two customers on the system, and each actually uses 60 MW in the next year, each pays half the transmission cost.  But if each used 40 MW, the point-to-point customer pays 60 percent of the cost while the network customer pays just 40 percent.</w:t>
      </w:r>
      <w:r>
        <w:rPr>
          <w:rStyle w:val="FootnoteCharacters"/>
          <w:rStyle w:val="FootnoteReference"/>
          <w:sz w:val="24"/>
          <w:vertAlign w:val="superscript"/>
        </w:rPr>
        <w:footnoteReference w:id="23"/>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In proposing a single transmission service based on reservation of capacity, the Commission highlighted at least two serious problems with load-based network service that have become increasingly apparent since implementation of the Order No. 888 </w:t>
      </w:r>
      <w:r>
        <w:rPr>
          <w:i/>
          <w:iCs/>
          <w:sz w:val="24"/>
        </w:rPr>
        <w:t xml:space="preserve">pro forma </w:t>
      </w:r>
      <w:r>
        <w:rPr>
          <w:sz w:val="24"/>
        </w:rPr>
        <w:t xml:space="preserve">tariff.  First, because load-based network service cannot be resold, </w:t>
      </w:r>
      <w:r>
        <w:rPr>
          <w:i/>
          <w:iCs/>
          <w:sz w:val="24"/>
        </w:rPr>
        <w:t>Order No. 888</w:t>
      </w:r>
      <w:r>
        <w:rPr>
          <w:sz w:val="24"/>
        </w:rPr>
        <w:t xml:space="preserve">, [1991-96 Regs. Preambles] F.E.R.C. Stats. &amp; Regs. at 31,751; </w:t>
      </w:r>
      <w:r>
        <w:rPr>
          <w:i/>
          <w:iCs/>
          <w:sz w:val="24"/>
        </w:rPr>
        <w:t>Order No. 888-A</w:t>
      </w:r>
      <w:r>
        <w:rPr>
          <w:sz w:val="24"/>
        </w:rPr>
        <w:t xml:space="preserve">, III F.E.R.C. Stats. &amp; Regs. at 30,253-54, perpetuation of network rights reduces the amount of transmission products and services that otherwise could be made available on secondary markets.  Consequently, at the very time that deregulatory reforms are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sz w:val="24"/>
        </w:rPr>
        <w:t xml:space="preserve">increasing power consumers’ exposure to price volatility, secondary markets remain thin and ineffective as price risk-management tools because of the existence of network service.  </w:t>
      </w:r>
      <w:r>
        <w:rPr>
          <w:i/>
          <w:iCs/>
          <w:sz w:val="24"/>
        </w:rPr>
        <w:t>CRT NOPR</w:t>
      </w:r>
      <w:r>
        <w:rPr>
          <w:sz w:val="24"/>
        </w:rPr>
        <w:t xml:space="preserve">, IV F.E.R.C. at 33,229.  Second, the Commission recognized that the ultimate goal of unbundling transmission from generation services cannot be fully realized under load-based network service for the simple reason that such transmission rights do not exist independent of load.  By contrast, generation and transmission services are reserved and used independently under a CRT regimen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i/>
          <w:iCs/>
          <w:sz w:val="24"/>
        </w:rPr>
        <w:t xml:space="preserve">i.e., </w:t>
      </w:r>
      <w:r>
        <w:rPr>
          <w:sz w:val="24"/>
        </w:rPr>
        <w:t xml:space="preserve">reservations for flexible grid use, including interface capacity, could be held independently of load.  </w:t>
      </w:r>
      <w:r>
        <w:rPr>
          <w:i/>
          <w:iCs/>
          <w:sz w:val="24"/>
        </w:rPr>
        <w:t>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We are not here recommending that the Commission embrace the transmission service offering that was contemplated in the CRT NOPR.  While that service had many desirable attributes, it suffered from a fatal design defect.  Under the CRT approach,  a customer’s capacity reservation would be </w:t>
      </w:r>
      <w:r>
        <w:rPr>
          <w:i/>
          <w:iCs/>
          <w:sz w:val="24"/>
        </w:rPr>
        <w:t xml:space="preserve">the higher of </w:t>
      </w:r>
      <w:r>
        <w:rPr>
          <w:sz w:val="24"/>
        </w:rPr>
        <w:t>either (1) the sum of the reservations at all receipt points or (2) the sum of the reservations at all delivery points.  This focus on capacity reserved at points of receipt or delivery drew opposition from many industry participants who correctly believed that such an approach would require reservation of untold numbers of receipt and delivery points, at enormous expense, in order to replicate the flexibility of network-like service.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sz w:val="24"/>
        </w:rPr>
      </w:pPr>
      <w:r>
        <w:rPr>
          <w:sz w:val="24"/>
        </w:rPr>
        <w:t>The conceptual error in the CRT proposal lay in its requirement that transmission users reserve points and paths rather than reserve rights to constrained interfaces.  In the absence of constraints, there is no need to confine transmission customers to the inflexibility of reserved points.  Instead, all transmission users should enjoy network access where there are no constraints.  Reservations should be required only to overcome constraints as needed to assure that firm service is firm.  That assurance, in turn, only requires that rights to congested interfaces be reserved.  Only customers requiring firm rights across constraining interfaces on a firm basis should need to reserve such rights.</w:t>
      </w:r>
      <w:r>
        <w:rPr>
          <w:rStyle w:val="FootnoteCharacters"/>
          <w:rStyle w:val="FootnoteReference"/>
          <w:sz w:val="24"/>
          <w:vertAlign w:val="superscript"/>
        </w:rPr>
        <w:footnoteReference w:id="24"/>
      </w:r>
      <w:r>
        <w:rPr>
          <w:sz w:val="24"/>
        </w:rPr>
        <w:t xml:space="preserve">  Like the CRT, the rights proposed here should overcome the deficiencies of the current transmission service offerings.  Nominations for capacity reservations would be accepted if the transmission provider could reliably accommodate the nominations without infringing upon other firm reservations.  Holders of the rights would have the option of scheduling less than their full reservation and reassigning their rights in whole or in part to other entities eligible to take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 xml:space="preserve">The Commission already has approved a reservation-based  service offering by Florida Power Corp. (“FPC”), in addition to point-to-point and network service under FPC’s tariff.  That service, known as network contract demand or NCD,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sz w:val="24"/>
        </w:rPr>
        <w:t xml:space="preserve">differs from point-to-point service . . .  in the following respects: (1) each point of receipt is not treated as a separate reservation for point-to-point service; [and] (2) customers may use alternate points of receipt on a nonfirm basis with a service priority above all other nonfirm uses (equivalent to the rights accorded network customers under the </w:t>
      </w:r>
      <w:r>
        <w:rPr>
          <w:i/>
          <w:iCs/>
          <w:sz w:val="24"/>
        </w:rPr>
        <w:t>pro forma</w:t>
      </w:r>
      <w:r>
        <w:rPr>
          <w:sz w:val="24"/>
        </w:rPr>
        <w:t xml:space="preserve"> tariff) . .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start="1440" w:end="1440"/>
        <w:jc w:val="both"/>
        <w:rPr>
          <w:sz w:val="24"/>
        </w:rPr>
      </w:pPr>
      <w:r>
        <w:rPr>
          <w:sz w:val="24"/>
        </w:rPr>
        <w:t xml:space="preserve">differs from network service . . . in the following respects: (1) the output of network resources is not limited to the amount of the customers’ designated loads; (2) charges are assessed on the basis of the contract reservation at the point of delivery rather than customer loads at those points; (3) service can be reassigned; (4) customers may use alternate points of delivery on a nonfirm basis up to the amount of the reservation (headroom); [and] (5) the transmission provider can use the service to make third-party sales . . .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i/>
          <w:iCs/>
          <w:sz w:val="24"/>
        </w:rPr>
        <w:t>Florida Power Corp.</w:t>
      </w:r>
      <w:r>
        <w:rPr>
          <w:sz w:val="24"/>
        </w:rPr>
        <w:t>, 81 F.E.R.C. ¶ 61,247 at 62,065 (1997).  With certain modifications, the NCD service could serve as a model for a reservation-based transmission offering in the rulemaking requested here.  Those modifications would include making the reservation-based service the exclusive basis for all transmission uses and not simply an addition to other reservation or load-based services.  Further, unlike the FPC proposal, the service would be the industry standard, available across all transmission systems.</w:t>
      </w:r>
      <w:r>
        <w:rPr>
          <w:rStyle w:val="FootnoteCharacters"/>
          <w:rStyle w:val="FootnoteReference"/>
          <w:sz w:val="24"/>
          <w:vertAlign w:val="superscript"/>
        </w:rPr>
        <w:footnoteReference w:id="25"/>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b/>
          <w:bCs/>
          <w:i/>
          <w:iCs/>
          <w:sz w:val="26"/>
          <w:szCs w:val="26"/>
        </w:rPr>
        <w:t>B.</w:t>
        <w:tab/>
        <w:t>OASIS Must Become the Common Vehicle for Obtaining Information on, and Determining, Disseminating and Reserving ATC</w:t>
      </w:r>
      <w:r>
        <w:fldChar w:fldCharType="begin"/>
      </w:r>
      <w:r>
        <w:rPr/>
        <w:instrText xml:space="preserve"> TC "B.</w:instrText>
        <w:tab/>
        <w:instrText xml:space="preserve">OASIS Must Become the Common Vehicle for Obtaining Information on, and Determining, Disseminating and Reserving ATC" \l 3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As originally envisioned in Order No. 889, OASIS (including the Standards of Conduct) was to be the showroom of nondiscriminatory open-access transmission.  It was to be the place to go to find out what was offered for sale -- </w:t>
      </w:r>
      <w:r>
        <w:rPr>
          <w:i/>
          <w:iCs/>
          <w:sz w:val="24"/>
        </w:rPr>
        <w:t>i.e.</w:t>
      </w:r>
      <w:r>
        <w:rPr>
          <w:sz w:val="24"/>
        </w:rPr>
        <w:t xml:space="preserve">, ATC -- on an open-access basis.  It was also to be the place to go to reserve ATC, determine the need for and commit to finance ATC expansion, or simply get in the queue for future ATC consistent with the Commission’s open-access rules.  </w:t>
      </w:r>
      <w:r>
        <w:rPr>
          <w:i/>
          <w:iCs/>
          <w:sz w:val="24"/>
        </w:rPr>
        <w:t xml:space="preserve">Order No. 889, </w:t>
      </w:r>
      <w:r>
        <w:rPr>
          <w:sz w:val="24"/>
        </w:rPr>
        <w:t xml:space="preserve">[1991-96 Regs. Preambles] F.E.R.C. at 31,604-09; </w:t>
      </w:r>
      <w:r>
        <w:rPr>
          <w:i/>
          <w:iCs/>
          <w:sz w:val="24"/>
        </w:rPr>
        <w:t>Real-Time Information Networks and Standards of Conduct, Notice of Proposed Rulemaking</w:t>
      </w:r>
      <w:r>
        <w:rPr>
          <w:sz w:val="24"/>
        </w:rPr>
        <w:t>, IV F.E.R.C. ¶ 32,516 at 33,177 (1995).  It is essential to nondiscriminatory open access that OASIS (or other public information venues) provide these services accurately and in a timely manner.</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Currently, OASIS nodes are neither accurate nor timely; as a result, access is less than open and nondiscriminatory.</w:t>
      </w:r>
      <w:r>
        <w:rPr>
          <w:rStyle w:val="FootnoteCharacters"/>
          <w:rStyle w:val="FootnoteReference"/>
          <w:sz w:val="24"/>
          <w:vertAlign w:val="superscript"/>
        </w:rPr>
        <w:footnoteReference w:id="26"/>
      </w:r>
      <w:r>
        <w:rPr>
          <w:sz w:val="24"/>
        </w:rPr>
        <w:t xml:space="preserve">  Indeed, posted ATC is almost universally unreliable.</w:t>
      </w:r>
      <w:r>
        <w:rPr>
          <w:rStyle w:val="FootnoteCharacters"/>
          <w:rStyle w:val="FootnoteReference"/>
          <w:sz w:val="24"/>
          <w:vertAlign w:val="superscript"/>
        </w:rPr>
        <w:footnoteReference w:id="27"/>
      </w:r>
      <w:r>
        <w:rPr>
          <w:sz w:val="24"/>
        </w:rPr>
        <w:t xml:space="preserve">  Certain utilities for instance, still do not post requests or transactions on behalf of wholesale native load, despite the Commission’s clear and oft-repeated insistence that comparability demands they be posted.</w:t>
      </w:r>
      <w:r>
        <w:rPr>
          <w:rStyle w:val="FootnoteCharacters"/>
          <w:rStyle w:val="FootnoteReference"/>
          <w:sz w:val="24"/>
          <w:vertAlign w:val="superscript"/>
        </w:rPr>
        <w:footnoteReference w:id="28"/>
      </w:r>
      <w:r>
        <w:rPr>
          <w:sz w:val="24"/>
        </w:rPr>
        <w:t xml:space="preserve">  Moreover, operators routinely neglect to post “grandfathered” transactions, a category that frequently accounts for most of the committed capacity on congested interfaces.  Petitioners are also unaware of a single OASIS node that fully complies with the requirement to post the availability of hourly firm service.  Instead, some operators make their initial ATC determination on a daily basis (with only sporadic updates), while others post a single presumptive value for the month:  Both practices can only lead to substantial underreporting.  Worse, when transmission customers arrange transactions in reliance on ostensibly up-to-date postings, it is not uncommon to learn when reserving that the capacity is not actually available, either because it never was, or because it was used for an economy transaction for captive load and not disclosed on OASIS.  (Often at such a point, contracts have already been signed and substantial time has been invested by the parties.)  Whether the ATC information was actually reported in error, posted in error, or the transmission provider improperly absconded with the capacity is an open question in these instances.</w:t>
      </w:r>
      <w:r>
        <w:rPr>
          <w:rStyle w:val="FootnoteCharacters"/>
          <w:rStyle w:val="FootnoteReference"/>
          <w:sz w:val="24"/>
          <w:vertAlign w:val="superscript"/>
        </w:rPr>
        <w:footnoteReference w:id="29"/>
      </w:r>
      <w:r>
        <w:rPr>
          <w:sz w:val="24"/>
        </w:rPr>
        <w:t xml:space="preserve">  Whatever the cause, uncertainty and confusion over ATC increases the expense and risk of every transaction and ultimately may prevent new market entrants from being able to build a reputation for reliable delivery.  The dismal state of OASIS is unlikely to improve so long as most vertically integrated utilities do not have to depend on OASIS for the majority of their uses of the transmission system and thus have no incentive to improve its performance.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 xml:space="preserve">What is required now is to implement the simple information and reservation functions of OASIS in a manner that achieves the goal of providing current and future customers of open-access transmission service uniform and easily understandable information “about available transmission capacity prices, and other information that will enable them to obtain open-access, non-discriminatory transmission service.”  </w:t>
      </w:r>
      <w:r>
        <w:rPr>
          <w:i/>
          <w:iCs/>
          <w:sz w:val="24"/>
        </w:rPr>
        <w:t>Order No. 889</w:t>
      </w:r>
      <w:r>
        <w:rPr>
          <w:sz w:val="24"/>
        </w:rPr>
        <w:t>, [1991-96 Regs. Preambles] F.E.R.C. at 31,585-3.</w:t>
      </w:r>
      <w:r>
        <w:rPr>
          <w:rStyle w:val="FootnoteCharacters"/>
          <w:rStyle w:val="FootnoteReference"/>
          <w:sz w:val="24"/>
          <w:vertAlign w:val="superscript"/>
        </w:rPr>
        <w:footnoteReference w:id="30"/>
      </w:r>
      <w:r>
        <w:rPr>
          <w:sz w:val="24"/>
        </w:rPr>
        <w:t xml:space="preserve">  OASIS performance is unlikely to improve so long as it is only non-transmission owners -- typically new market entrants -- that must rely on the OASIS.  Until all users of the transmission grid are comparably dependent on the OASIS for obtaining ATC and price information and for reserving capacity, the quality of OASIS performance is unlikely to improve.  Because vertically integrated transmission owners are able to obtain transmission capacity independent of OASIS, they have no incentive to ensure that OASIS is functioning appropriately.  Indeed, to gain a competitive advantage over those who are dependent on the timeliness and accuracy of OASIS, vertically integrated transmission owners have an incentive to make OASIS as slow and uninformative as possible.</w:t>
      </w:r>
      <w:r>
        <w:rPr>
          <w:rStyle w:val="FootnoteCharacters"/>
          <w:rStyle w:val="FootnoteReference"/>
          <w:sz w:val="24"/>
          <w:vertAlign w:val="superscript"/>
        </w:rPr>
        <w:footnoteReference w:id="31"/>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bCs/>
          <w:i/>
          <w:i/>
          <w:iCs/>
          <w:sz w:val="24"/>
        </w:rPr>
      </w:pPr>
      <w:r>
        <w:rPr>
          <w:b/>
          <w:bCs/>
          <w:i/>
          <w:iCs/>
          <w:sz w:val="26"/>
          <w:szCs w:val="26"/>
        </w:rPr>
        <w:t>C.</w:t>
        <w:tab/>
        <w:t>System Operators Must Be Directed to Improve How They Determine Available Firm Capacity and Stop Relying on Curtailments to Manage Line Loading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fldChar w:fldCharType="begin"/>
      </w:r>
      <w:r>
        <w:rPr/>
        <w:instrText xml:space="preserve"> TC "C.</w:instrText>
        <w:tab/>
        <w:instrText xml:space="preserve">System Operators Must Be Directed to Improve How They Determine Available Firm Capacity and Stop Relying on Curtailments to Manage Line Loading" \l 3 </w:instrText>
      </w:r>
      <w:r>
        <w:rPr/>
        <w:fldChar w:fldCharType="separate"/>
      </w:r>
      <w:r>
        <w:rPr/>
      </w:r>
      <w:r>
        <w:rPr/>
        <w:fldChar w:fldCharType="end"/>
      </w:r>
      <w:r>
        <w:rPr>
          <w:sz w:val="24"/>
        </w:rPr>
        <w:tab/>
        <w:t xml:space="preserve">The division of open-access service between load-based network and reservation-based point-to-point service, together with the fact that network uses of the transmission system are generally not dependent on OASIS for ATC information and reserving ATC, combine to countenance, if not encourage, system operators to manage line loading on the inefficient basis of interrupting or curtailing already reserved transactions rather than on the basis of granting or denying reservations in the first instance in accordance with accurate ATC information.  In connection with the rulemaking proposed here, Petitioners urge the Commission to take action to ensure that a system operator’s incentive is to make maximum reliable use of transmission systems through informed reservations and redispatch as opposed to oversubscribing the system and thereafter managing the resulting overloading of lines through curtailment.  In individual decisions, the Commission has taken steps in this direction by admonishing transmission providers that they are responsible for accurately assessing the adequacy of ATC at the time a request for service is received.  </w:t>
      </w:r>
      <w:r>
        <w:rPr>
          <w:i/>
          <w:iCs/>
          <w:sz w:val="24"/>
        </w:rPr>
        <w:t>See</w:t>
      </w:r>
      <w:r>
        <w:rPr>
          <w:sz w:val="24"/>
        </w:rPr>
        <w:t xml:space="preserve">, </w:t>
      </w:r>
      <w:r>
        <w:rPr>
          <w:i/>
          <w:iCs/>
          <w:sz w:val="24"/>
        </w:rPr>
        <w:t>e.g., Madison Gas &amp; Electric Co. v. Wisconsin Power &amp; Light Co.</w:t>
      </w:r>
      <w:r>
        <w:rPr>
          <w:sz w:val="24"/>
        </w:rPr>
        <w:t>, 80 F.E.R.C. ¶ 61,331, (1997) (must accurately assess ATC before canceling reservations that are still conditional).  This must be the industry-wide standard.</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numPr>
          <w:ilvl w:val="0"/>
          <w:numId w:val="0"/>
        </w:numPr>
        <w:rPr>
          <w:sz w:val="24"/>
        </w:rPr>
      </w:pPr>
      <w:r>
        <w:rPr>
          <w:sz w:val="24"/>
        </w:rPr>
      </w:r>
    </w:p>
    <w:p>
      <w:pPr>
        <w:sectPr>
          <w:footnotePr>
            <w:numFmt w:val="decimal"/>
          </w:footnotePr>
          <w:type w:val="continuous"/>
          <w:pgSz w:w="12240" w:h="15840"/>
          <w:pgMar w:left="2880" w:right="288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As noted above, load-based uses of the transmission grid, such as network service, make it difficult, if not impossible, for the system operator (or control area operator) to determine and disseminate accurate and timely ATC information.  In addition, because the majority of network uses associated with the vertically integrated transmission provider’s captive load are not dependent on OASIS to obtain transmission capacity,</w:t>
      </w:r>
      <w:r>
        <w:rPr>
          <w:rStyle w:val="FootnoteCharacters"/>
          <w:rStyle w:val="FootnoteReference"/>
          <w:sz w:val="24"/>
          <w:vertAlign w:val="superscript"/>
        </w:rPr>
        <w:footnoteReference w:id="32"/>
      </w:r>
      <w:r>
        <w:rPr>
          <w:sz w:val="24"/>
        </w:rPr>
        <w:t xml:space="preserve"> OASIS node operators that are vertically integrated utilities have little incentive to make the ATC determination and reservation process work efficiently; even where the node operator is a third-party </w:t>
      </w:r>
      <w:r>
        <w:rPr>
          <w:i/>
          <w:iCs/>
          <w:sz w:val="24"/>
        </w:rPr>
        <w:t>(e.g.</w:t>
      </w:r>
      <w:r>
        <w:rPr>
          <w:sz w:val="24"/>
        </w:rPr>
        <w:t>, an ISO or TransCo</w:t>
      </w:r>
      <w:r>
        <w:rPr>
          <w:rStyle w:val="FootnoteCharacters"/>
          <w:rStyle w:val="FootnoteReference"/>
          <w:sz w:val="24"/>
          <w:vertAlign w:val="superscript"/>
        </w:rPr>
        <w:footnoteReference w:id="33"/>
      </w:r>
      <w:r>
        <w:rPr>
          <w:sz w:val="24"/>
        </w:rPr>
        <w:t xml:space="preserve">) or other regional entity, it is under no pressure from the system’s largest users -- the vertically integrated utilities -- to make the ATC and reservation process accurate and timely.  These factors deprive the system operator of sufficiently accurate and timely information to make informed decisions on whether to accept, deny or condition transmission reservation requests in the first instance.  The system operator is, in effect, forced to operate the system and manage line loading, not through accurate and reliable reservation, but rather through curtailing or otherwise interrupting complete transactions.  This result can also be brought on by power pool and coordination agreements that make the pool or coordinator responsible for assembling and disseminating ATC and for implementing line loading relief, but </w:t>
      </w:r>
      <w:r>
        <w:rPr>
          <w:i/>
          <w:iCs/>
          <w:sz w:val="24"/>
        </w:rPr>
        <w:t xml:space="preserve">do not empower </w:t>
      </w:r>
      <w:r>
        <w:rPr>
          <w:sz w:val="24"/>
        </w:rPr>
        <w:t>the pool or coordinator to ensure the accuracy of the ATC data provided to it or to arrange for dispatch resources to avert curtailments or interruptions.</w:t>
      </w:r>
      <w:r>
        <w:rPr>
          <w:rStyle w:val="FootnoteCharacters"/>
          <w:rStyle w:val="FootnoteReference"/>
          <w:sz w:val="24"/>
          <w:vertAlign w:val="superscript"/>
        </w:rPr>
        <w:footnoteReference w:id="34"/>
      </w:r>
      <w:r>
        <w:rPr>
          <w:sz w:val="24"/>
        </w:rPr>
        <w:t xml:space="preserve">  In the requested rulemaking, Petitioners ask the Commission to consolidate the responsibility for determining ATC with the ability to maximize ATC and minimize curtailments through redispatch.</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Rather than responding to the </w:t>
      </w:r>
      <w:r>
        <w:rPr>
          <w:i/>
          <w:iCs/>
          <w:sz w:val="24"/>
        </w:rPr>
        <w:t>status quo</w:t>
      </w:r>
      <w:r>
        <w:rPr>
          <w:sz w:val="24"/>
        </w:rPr>
        <w:t xml:space="preserve"> by seeking to change the system operators’ incentives, vertically integrated transmission owners and other important sectors of the industry appear to be embracing management through curtailment and imposing on the industry new rules to facilitate management through curtailment.  Illustrative is the Transaction Information Reservation and Scheduling (referred to as “tagging”) rule that the NERC has recently sought to impose unilaterally as a precondition for scheduling transmission for all  interchange transactions.  As it has been implemented by many utilities, tagging requires a transmission customer to identify every transfer of title to a unit of power between the generator and the final sale for resale as a precondition to scheduling transmission service for that transaction.  The fact is that reliable operation of the transmission grid only requires that the system operator know the control area of the source and the control area of the sink, and not every title transaction in between.  Nevertheless, NERC and some of its members are encouraging utilities to persist in requiring tagging, not because it is important to reliability, but rather because it provides the system operator with a convenient and easy way to identify and prioritize transactions not involving transmission owners’ captive customers.  The system operator is then directed to curtail tagged interchange transactions as its preferred (or possibly only available) mechanism for managing line loading.</w:t>
      </w:r>
      <w:r>
        <w:rPr>
          <w:rStyle w:val="FootnoteCharacters"/>
          <w:rStyle w:val="FootnoteReference"/>
          <w:sz w:val="24"/>
          <w:vertAlign w:val="superscript"/>
        </w:rPr>
        <w:footnoteReference w:id="35"/>
      </w:r>
      <w:r>
        <w:rPr>
          <w:sz w:val="24"/>
        </w:rPr>
        <w:t xml:space="preserve">  Not only is this practice highly inefficient, it also has the highly objectionable effect of making firm service less than firm.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bCs/>
          <w:i/>
          <w:i/>
          <w:iCs/>
          <w:sz w:val="24"/>
        </w:rPr>
      </w:pPr>
      <w:r>
        <w:rPr>
          <w:b/>
          <w:bCs/>
          <w:i/>
          <w:iCs/>
          <w:sz w:val="26"/>
          <w:szCs w:val="26"/>
        </w:rPr>
        <w:t>D.</w:t>
        <w:tab/>
        <w:t>Hourly Firm Service Can and Should Be Made Mandatory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fldChar w:fldCharType="begin"/>
      </w:r>
      <w:r>
        <w:rPr/>
        <w:instrText xml:space="preserve"> TC "D.</w:instrText>
        <w:tab/>
        <w:instrText xml:space="preserve">Hourly Firm Service Can and Should Be Made Mandatory" \l 3 </w:instrText>
      </w:r>
      <w:r>
        <w:rPr/>
        <w:fldChar w:fldCharType="separate"/>
      </w:r>
      <w:r>
        <w:rPr/>
      </w:r>
      <w:r>
        <w:rPr/>
        <w:fldChar w:fldCharType="end"/>
      </w:r>
      <w:r>
        <w:rPr>
          <w:sz w:val="24"/>
        </w:rPr>
        <w:tab/>
        <w:t xml:space="preserve">The minimum duration firm point-to-point service that must currently be made available under Order No. 888 is daily. </w:t>
      </w:r>
      <w:r>
        <w:rPr>
          <w:i/>
          <w:iCs/>
          <w:sz w:val="24"/>
        </w:rPr>
        <w:t>Order No. 888</w:t>
      </w:r>
      <w:r>
        <w:rPr>
          <w:sz w:val="24"/>
        </w:rPr>
        <w:t>, 61 Fed. Reg. at 21,711 (</w:t>
      </w:r>
      <w:r>
        <w:rPr>
          <w:i/>
          <w:iCs/>
          <w:sz w:val="24"/>
        </w:rPr>
        <w:t>Pro Forma</w:t>
      </w:r>
      <w:r>
        <w:rPr>
          <w:sz w:val="24"/>
        </w:rPr>
        <w:t xml:space="preserve"> Tariff § 13.1).  Hourly service is not currently required to be offered under the open-access tariff.  This is both discriminatory and unwise.  Whether it be within the current context of the </w:t>
      </w:r>
      <w:r>
        <w:rPr>
          <w:i/>
          <w:iCs/>
          <w:sz w:val="24"/>
        </w:rPr>
        <w:t>pro forma</w:t>
      </w:r>
      <w:r>
        <w:rPr>
          <w:sz w:val="24"/>
        </w:rPr>
        <w:t xml:space="preserve"> open-access tariff or under a flow-based network tariff, comparability principles demand that a competitive market for hourly trades be allowed to develop through the mandatory offering of hourly firm transmission and ancillary services one-day ahead.  Transmission providers schedule and take hourly firm services on behalf of their bundled captive loads.  Service comparability requires that hourly services be available to all eligible transmission customers.  Moreover, if the Commission authorizes proposals to introduce day-ahead, hourly, or possibly shorter-period spot-market trading -- </w:t>
      </w:r>
      <w:r>
        <w:rPr>
          <w:i/>
          <w:iCs/>
          <w:sz w:val="24"/>
        </w:rPr>
        <w:t>e.g</w:t>
      </w:r>
      <w:r>
        <w:rPr>
          <w:sz w:val="24"/>
        </w:rPr>
        <w:t xml:space="preserve">., the pending proposals for the Pennsylvania-New Jersey-Maryland Interconnection, New York and New England power pools -- it will be impossible for a non-transmission-owning transmission customer to purchase transmission service proportionate to its sales into that type of an hourly market. </w:t>
        <w:tab/>
        <w:t xml:space="preserve">Within power pools and other coordination agreements for economy transactions, utilities can trade power on an hourly basis.  These trades can be highly beneficial for all parties involved.  By not requiring hourly transmission service under the </w:t>
      </w:r>
      <w:r>
        <w:rPr>
          <w:i/>
          <w:iCs/>
          <w:sz w:val="24"/>
        </w:rPr>
        <w:t xml:space="preserve">pro forma </w:t>
      </w:r>
      <w:r>
        <w:rPr>
          <w:sz w:val="24"/>
        </w:rPr>
        <w:t xml:space="preserve">tariff, however, the </w:t>
      </w:r>
      <w:r>
        <w:rPr>
          <w:i/>
          <w:iCs/>
          <w:sz w:val="24"/>
        </w:rPr>
        <w:t>status quo</w:t>
      </w: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t>effectively permits only incumbent utilities to participate in hourly markets for physical delivery.  That result cannot be squared with service comparability.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The Commission has explained its decision not to require the offering of hourly firm service on the</w:t>
      </w:r>
      <w:r>
        <w:rPr>
          <w:i/>
          <w:iCs/>
          <w:sz w:val="24"/>
        </w:rPr>
        <w:t xml:space="preserve"> </w:t>
      </w:r>
      <w:r>
        <w:rPr>
          <w:sz w:val="24"/>
        </w:rPr>
        <w:t xml:space="preserve">ground that market participants would have an incentive to reserve and hoard all of the most valuable peak-hour capacity.  </w:t>
      </w:r>
      <w:r>
        <w:rPr>
          <w:i/>
          <w:iCs/>
          <w:sz w:val="24"/>
        </w:rPr>
        <w:t>Order No. 888</w:t>
      </w:r>
      <w:r>
        <w:rPr>
          <w:sz w:val="24"/>
        </w:rPr>
        <w:t xml:space="preserve">, [1991-96 Regs. Preambles] F.E.R.C. Stats. &amp; Regs. at 31,752; </w:t>
      </w:r>
      <w:r>
        <w:rPr>
          <w:i/>
          <w:iCs/>
          <w:sz w:val="24"/>
        </w:rPr>
        <w:t>Order No. 888-A</w:t>
      </w:r>
      <w:r>
        <w:rPr>
          <w:sz w:val="24"/>
        </w:rPr>
        <w:t>, III F.E.R.C. Stats &amp; Regs at 30,303.  This concern should be reconsidered.  Hourly rights are reserved under the present system, but on a daily basis, and a significant portion of these rights are simply not used during off-peak hours.  Requiring market participants to purchase 24 hours of service to obtain firm capacity for only few hours of actual use causes more problems than it is intended to solve.  First, it deprives the marketplace of information on the demand for and value of capacity during specific hours.  Second, during many off-peak hours, this practice removes capacity that might otherwise be available on a firm basis to dispatchable loads.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Further, as more and more states and local governments remove limitations on retail competition, the need for hourly service will increase.  Many of these retail loads will be served by load aggregators or, as proposed for California, scheduling coordinators.  These aggregators must have access to hourly firm service in order to manage flexibly and economically the combinations of generating units and purchased power that they will use to provide retail services.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In the requested rulemaking, the Commission should expand minimum transmission service offerings to include hourly firm service on at least a day-ahead, if not shorter, basis.  Offering transmission service in this manner will facilitate an efficient hourly market, while at the same time obviating concerns over hoarding.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6"/>
          <w:szCs w:val="26"/>
        </w:rPr>
      </w:pPr>
      <w:r>
        <w:rPr>
          <w:b/>
          <w:bCs/>
          <w:i/>
          <w:iCs/>
          <w:sz w:val="26"/>
          <w:szCs w:val="26"/>
        </w:rPr>
      </w: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Cs w:val="20"/>
        </w:rPr>
        <w:t xml:space="preserve">All Transmission Customers Should Enjoy the Same Reservation and Scheduling Flexibility that Vertically Integrated Utilities Enjoy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When vertically integrated utilities and other current network customers use the transmission system, they are not burdened by costly and cumbersome scheduling chores that are routinely imposed on new entrants by many, if not most, transmission providers.  First, they are allowed to pool all on-system and off-system generating resources and are not forced to designate a fictional path between each off-system source of power and each on-system delivery point.  Second, they are allowed to batch transactions for both scheduling and accounting purposes and are not compelled to reserve, schedule and account for each transaction separately.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bCs/>
          <w:i/>
          <w:iCs/>
          <w:sz w:val="24"/>
        </w:rPr>
        <w:t>1.</w:t>
        <w:tab/>
        <w:t>Comparability requires that all transmission customers be able to pool external generating resources for deliveries into the transmission provider’s system.</w:t>
      </w:r>
      <w:r>
        <w:rPr>
          <w:i/>
          <w:iCs/>
          <w:sz w:val="24"/>
        </w:rPr>
        <w:t xml:space="preserve"> </w:t>
      </w:r>
      <w:r>
        <w:rPr>
          <w:sz w:val="24"/>
        </w:rPr>
        <w:t xml:space="preserve"> Vertically integrated utilities today do not declare the path of energy flows from each generating unit to each point of consumption within or outside of their system.  Instead, they pool their generation; so long as resources and loads are simultaneously balanced, the transmission system works to provide the vertically integrated system owner flexible and reliable service.  Likewise, other utilities with load are provided the same flexibility to pool internal and external generating resources through the Network Integration Transmission Service of the </w:t>
      </w:r>
      <w:r>
        <w:rPr>
          <w:i/>
          <w:iCs/>
          <w:sz w:val="24"/>
        </w:rPr>
        <w:t xml:space="preserve">pro forma </w:t>
      </w:r>
      <w:r>
        <w:rPr>
          <w:sz w:val="24"/>
        </w:rPr>
        <w:t xml:space="preserve">transmission tariff.  </w:t>
      </w:r>
      <w:r>
        <w:rPr>
          <w:i/>
          <w:iCs/>
          <w:sz w:val="24"/>
        </w:rPr>
        <w:t xml:space="preserve">See </w:t>
      </w:r>
      <w:r>
        <w:rPr>
          <w:sz w:val="24"/>
        </w:rPr>
        <w:t xml:space="preserve">Pro Forma </w:t>
      </w:r>
      <w:r>
        <w:rPr>
          <w:i/>
          <w:iCs/>
          <w:sz w:val="24"/>
        </w:rPr>
        <w:t>Trans. Tariff</w:t>
      </w:r>
      <w:r>
        <w:rPr>
          <w:sz w:val="24"/>
        </w:rPr>
        <w:t xml:space="preserve"> § 30.  It is only new entrants -- eligible only for point-to-point service -- that are denied the flexibility of pooling or aggregating external power resources for import into the transmission provider’s system.  </w:t>
      </w:r>
      <w:r>
        <w:rPr>
          <w:i/>
          <w:iCs/>
          <w:sz w:val="24"/>
        </w:rPr>
        <w:t xml:space="preserve">Id. </w:t>
      </w:r>
      <w:r>
        <w:rPr>
          <w:sz w:val="24"/>
        </w:rPr>
        <w:t>§13.7.</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ability to pool all resources for scheduling purposes is essential to a new entrant’s ability to compete with vertically integrated utilities and those eligible for network service.  In Order No. 636, the Commission recognized the importance of pooling for purposes of reserving and scheduling natural gas transportation service.  </w:t>
      </w:r>
      <w:r>
        <w:rPr>
          <w:i/>
          <w:iCs/>
          <w:sz w:val="24"/>
        </w:rPr>
        <w:t xml:space="preserve">See Order No. 636, </w:t>
      </w:r>
      <w:r>
        <w:rPr>
          <w:sz w:val="24"/>
        </w:rPr>
        <w:t>[1991-96 Regs. Preambles] F.E.R.C. at 30,427-29.  Flexible pooling is even more essential in the electric power industry where the sources of generation are widely dispersed and not concentrated as is natural gas in a handful of producing areas.  Moreover, the benefits of pooling are obvious.  It eliminates the administrative burden and not insignificant transaction cost of pairing each megawatt of power received at each receipt point with each megawatt of power delivered at each delivery point.  The fact that certain transmission providers have offered nondiscriminatory pooling or aggregation services demonstrates that there are no operational reasons for withholding external resource pooling opportunities from new entrants.</w:t>
      </w:r>
      <w:r>
        <w:rPr>
          <w:rStyle w:val="FootnoteCharacters"/>
          <w:rStyle w:val="FootnoteReference"/>
          <w:sz w:val="24"/>
          <w:vertAlign w:val="superscript"/>
        </w:rPr>
        <w:footnoteReference w:id="36"/>
      </w:r>
      <w:r>
        <w:rPr>
          <w:sz w:val="24"/>
        </w:rPr>
        <w:t xml:space="preserve">  Accordingly, the Commission should change the existing tariff rules to ensure that all transmission customers, including new entrants, are equally able to pool power from multiple generating resources, internal and external, for delivery to various market areas, without the need to match each receipt and points of delivery.  Petitioners recognize that transmission users will still be required to schedule power at each receipt and delivery point, and that receipts must clear deliveries.  But transmission customers should not have to designate a fictional path between each scheduled receipt and a corresponding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bCs/>
          <w:i/>
          <w:iCs/>
          <w:sz w:val="24"/>
        </w:rPr>
        <w:t>2.</w:t>
        <w:tab/>
        <w:t>All transmission customers should enjoy equally the ability to batch multiple transactions.</w:t>
      </w:r>
      <w:r>
        <w:rPr>
          <w:sz w:val="24"/>
        </w:rPr>
        <w:t xml:space="preserve">  When vertically integrated utilities use the transmission system, they reserve and schedule directional capacity and not each and every transaction capable of using that reservation and schedule.  Rather, they have the option of assembling or “batching” resources and loads.  New entrants, dependent on point-to-point uses of transmission system, typically do not have this option.  In order to achieve service comparability, the Commission should now extend this flexibility to all transmission system users.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Consider a situation where a market participant has six transactions originating in the service territory of Utility A and crossing into the service territory of Utility B.  In order to reserve the needed capacity for these transactions, the market participant currently has to query the system operator six separate times; likewise, it ordinarily has to schedule each of these transactions separately.  These time-consuming exercises are both inefficient and unnecessary.  They are also discriminatory against new entrants, which are excluded under existing rules from eligibility for network service and are instead relegated to taking point-to-point service.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 xml:space="preserve">The Commission should direct transmission system operators to permit the batching of transactions for both reservation and scheduling purposes.  In the example of six transactions originating in Utility A and flowing into Utility B, the transmission customer should be able to reserve and schedule all six transactions in a single batch, indicating the total amount of power that will cross the interface between the two systems.  This should be an option even if the power flowing under two of the six transactions continued beyond Utility B, for example, to Utility C.  Batching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t>transaction reservations and schedules across interfaces in this manner could dramatically reduce the transaction costs that point-to-point service currently imposes on the transmission system operator and customer and, at the same time, would empower market participants to dispatch multiple resources economically just as integrated utilities do.  Moreover, it would still provide the system operator with the information on aggregate schedules across interfaces that it needs in order to follow-load, determine ATC accurately and operate the grid reliably.</w:t>
      </w:r>
      <w:r>
        <w:rPr>
          <w:rStyle w:val="FootnoteCharacters"/>
          <w:rStyle w:val="FootnoteReference"/>
          <w:sz w:val="24"/>
          <w:vertAlign w:val="superscript"/>
        </w:rPr>
        <w:footnoteReference w:id="37"/>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b/>
          <w:bCs/>
          <w:sz w:val="28"/>
          <w:szCs w:val="28"/>
        </w:rPr>
      </w:pPr>
      <w:r>
        <w:rPr>
          <w:b/>
          <w:bCs/>
          <w:sz w:val="28"/>
          <w:szCs w:val="28"/>
        </w:rPr>
        <w:t>IV.</w:t>
        <w:tab/>
        <w:t xml:space="preserve">CONSOLIDATION OF THE BALKANIZED GRID IS NEEDED TO ROOT OUT PERSISTENT DISCRIMINATION </w:t>
      </w:r>
      <w:r>
        <w:fldChar w:fldCharType="begin"/>
      </w:r>
      <w:r>
        <w:rPr/>
        <w:instrText xml:space="preserve"> TC "IV.</w:instrText>
        <w:tab/>
        <w:instrText xml:space="preserve">CONSOLIDATION OF THE BALKANIZED GRID IS NEEDED TO ROOT OUT PERSISTENT DISCRIMINATION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In the rulemaking sought here, we urge the Commission to invoke its (and the Department of Energy’s) powers under FPA section 202(a), 16 U.S.C. § 824a(a) (1994), and PURPA section 205, 16 U.S.C. § 824a-1 (1994), to encourage the consolidation of regional transmission systems under a regional operating entity, properly structured and possessing incentives to maximize system reliability and throughput.</w:t>
      </w:r>
      <w:r>
        <w:rPr>
          <w:rStyle w:val="FootnoteCharacters"/>
          <w:rStyle w:val="FootnoteReference"/>
          <w:sz w:val="24"/>
          <w:vertAlign w:val="superscript"/>
        </w:rPr>
        <w:footnoteReference w:id="38"/>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Under the current system, a great number of transmission providers and control areas independently define and describe ATC and establish protocols for transmission system reservation and line-loading relief.  Independent actors acting independently to fulfill these responsibilities make little sense when it is recognized that these entities are not only interconnected, but are also interdependent; the decisions of any one necessarily limit the decisions that can be made by many others.  For example, where one transmission provider or control area is very conservative or simply inaccurate in its ATC determination across an interface, the low ATC value that it assigns can have the effect of reducing the ATC available to interconnected systems as well -- </w:t>
      </w:r>
      <w:r>
        <w:rPr>
          <w:i/>
          <w:iCs/>
          <w:sz w:val="24"/>
        </w:rPr>
        <w:t>i.e.</w:t>
      </w:r>
      <w:r>
        <w:rPr>
          <w:sz w:val="24"/>
        </w:rPr>
        <w:t>, the low value becomes the common denominator for the region.  To encourage the regional consolidation of these functions, we urge the Commission to take every step available to prod transmission owners and operators to consolidate systems and control areas into regional ISOs, TransCos or any other appropriately constituted regional body.</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Multiple independent operators of interconnected systems also result in suboptimal and, worse, discriminatory management of the grid.  This is apparent from the preoccupation of certain industry sectors with placing identification “tags” on interchange transactions together with line loading-relief protocols that target for curtailment only “tagged” interchange transactions.</w:t>
      </w:r>
      <w:r>
        <w:rPr>
          <w:rStyle w:val="FootnoteCharacters"/>
          <w:rStyle w:val="FootnoteReference"/>
          <w:sz w:val="24"/>
          <w:vertAlign w:val="superscript"/>
        </w:rPr>
        <w:footnoteReference w:id="39"/>
      </w:r>
      <w:r>
        <w:rPr>
          <w:sz w:val="24"/>
        </w:rPr>
        <w:t xml:space="preserve">  In large part this focus on curtailing interchange transactions outright is attributable to the perspective of the single transmission provider acting independently.  From that narrow perspective, often the only apparent solution to an overloaded line may be to curtail or otherwise interrupt transactions.  If approached on a larger regional basis by a properly structured ISO or TransCo, however, it would be apparent that redispatching certain generators that voluntarily contract to redispatch their output, without curtailing any transactions, may offer the optimal solution to a loading problem.  This broader perspective is often lacking within the boundaries of a single utility or control area; as a consequence, many wholesale transactions are being curtailed unnecessarily and inefficiently.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A reduction in the number of transmission system coordinators will simplify, and could make more efficient, the physical process of operating the system, of determining ATC, scheduling, and managing line loading, so long as those coordinators are not affiliated with (vertically integrated) transmission owners.  System reliability also stands to be improved when fewer regional operating entities need to be called on to determine the viability of transactions over constraining interfaces.</w:t>
        <w:tab/>
        <w:t>Consolidation of at least the transmission system reliability functions within regions containing many control areas should be encouraged, so as to improve coordination across systems and ensure a more efficient and equitable operation of the region’s transmission systems.  As part of the platform on which a competitive power industry will stand, the Commission should establish rules requiring, at a minimum, that regional transmission providers and control areas jointly and consistently determine ATC, establish common procedures and deadlines for scheduling, and implement protocols for managing line loading and loading relief.</w:t>
      </w:r>
      <w:r>
        <w:rPr>
          <w:rStyle w:val="FootnoteCharacters"/>
          <w:rStyle w:val="FootnoteReference"/>
          <w:sz w:val="24"/>
          <w:vertAlign w:val="superscript"/>
        </w:rPr>
        <w:footnoteReference w:id="40"/>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b/>
          <w:bCs/>
          <w:sz w:val="28"/>
          <w:szCs w:val="28"/>
        </w:rPr>
      </w:pPr>
      <w:r>
        <w:rPr>
          <w:b/>
          <w:bCs/>
          <w:sz w:val="28"/>
          <w:szCs w:val="28"/>
        </w:rPr>
        <w:t>V.</w:t>
        <w:tab/>
        <w:t>THE COMMISSION MUST ADDRESS THE REMAINING IMPEDIMENTS TO ACHIEVING A COMMERCIAL ELECTRICITY MARKET IN A FURTHER RULEMAKING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bCs/>
          <w:sz w:val="28"/>
          <w:szCs w:val="28"/>
        </w:rPr>
      </w:pPr>
      <w:r>
        <w:rPr>
          <w:b/>
          <w:bCs/>
          <w:sz w:val="28"/>
          <w:szCs w:val="28"/>
        </w:rPr>
        <w:t>AND NOT ABDICATE ITS RESPONSIBILITY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8"/>
          <w:szCs w:val="28"/>
        </w:rPr>
      </w:pPr>
      <w:r>
        <w:rPr>
          <w:b/>
          <w:bCs/>
          <w:sz w:val="28"/>
          <w:szCs w:val="28"/>
        </w:rPr>
        <w:t>PRIVATE INTERESTS</w:t>
      </w:r>
      <w:r>
        <w:fldChar w:fldCharType="begin"/>
      </w:r>
      <w:r>
        <w:rPr/>
        <w:instrText xml:space="preserve"> TC "V.</w:instrText>
        <w:tab/>
        <w:instrText xml:space="preserve">THE COMMISSION MUST ADDRESS THE REMAINING IMPEDIMENTS TO ACHIEVING A COMMERCIAL ELECTRICITY MARKET IN A FURTHER RULEMAKINGAND NOT ABDICATE ITS RESPONSIBILITY TOPRIVATE INTERESTS"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szCs w:val="28"/>
        </w:rPr>
      </w:pPr>
      <w:r>
        <w:rPr>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Transmission grids have become host to an increasing number and types of transactions.  While the physical structure of the industry -- transmission lines and the location of generators -- has not changed, the growing number of transactions occurring on that physical structure gives rise to demands for new operational protocols and accounting systems to understand and manage the operational and commercial interests in energy transactions.  In the rulemaking requested here, the Commission needs to take steps to ensure that putative limitations in physical metering and measurement systems not be used as a justification to inhibit commercial transactions.  In addition, financial accounting systems should not become so onerous as to compromise commercial undertakings.  The Commission must take control of the development of these accounting systems and not delegate this responsibility to others.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Order No. 888, the Commission has explained, did not codify contract paths and contract-path pricing.  Rather, it went on to encourage the industry “to explore . . . regional flow-based pricing proposals.”  </w:t>
      </w:r>
      <w:r>
        <w:rPr>
          <w:i/>
          <w:iCs/>
          <w:sz w:val="24"/>
        </w:rPr>
        <w:t>See CRT NOPR</w:t>
      </w:r>
      <w:r>
        <w:rPr>
          <w:sz w:val="24"/>
        </w:rPr>
        <w:t>, [Proposed Regs.] IV F.E.R.C. at 33,229.  Notwithstanding the Commission’s disclaimer to the contrary, various industry sectors continue to impose contract path-oriented operational requirements on the power industry.  These cumbersome requirements compromise development of competitive power markets.  Illustrative are the tagging procedures recently developed by NERC for the electronic scheduling of transactions.  NERC refers to this process as the interim Transaction Information System (“iTIS”).  According to NERC, iTIS provides a method for “tagging” all interchange transactions between a generation source and a load link.  On May 1, 1997, NERC approved a new NERC Operating Policy 3, App. E, which governs NERC’s tagging process.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Pursuant to Operating Policy 3, the NERC Operating Committee developed a tag template that uses an electronic spreadsheet for data entry and is intended to be used for all inter-control area (</w:t>
      </w:r>
      <w:r>
        <w:rPr>
          <w:i/>
          <w:iCs/>
          <w:sz w:val="24"/>
        </w:rPr>
        <w:t>i.e.,</w:t>
      </w:r>
      <w:r>
        <w:rPr>
          <w:sz w:val="24"/>
        </w:rPr>
        <w:t xml:space="preserve"> interchange) transmission transactions.  Again, on its unilateral initiative, NERC, in a July 14, 1997, press release, established implementation deadlines for introducing tagging, culminating August 18, 1997, by which time all interchange transactions that will begin after four hours are required to be tagged, using the non-Commission-approved tagging template.  The press release states that “[t]he Operating Committee </w:t>
      </w:r>
      <w:r>
        <w:rPr>
          <w:i/>
          <w:iCs/>
          <w:sz w:val="24"/>
        </w:rPr>
        <w:t xml:space="preserve">expects </w:t>
      </w:r>
      <w:r>
        <w:rPr>
          <w:sz w:val="24"/>
        </w:rPr>
        <w:t xml:space="preserve">all control areas and Security Coordinators to </w:t>
      </w:r>
      <w:r>
        <w:rPr>
          <w:i/>
          <w:iCs/>
          <w:sz w:val="24"/>
        </w:rPr>
        <w:t xml:space="preserve">enforce </w:t>
      </w:r>
      <w:r>
        <w:rPr>
          <w:sz w:val="24"/>
        </w:rPr>
        <w:t>this implementation schedule.” (emphasis added).  These NERC directives have been interpreted by many control areas as a mandate that they demand tagging of all transmission transactions, and if the tag is not completed, a mandate that the system operator refuse to accept a schedule for transmission service from a transmission customer.  To date, a large and growing number of transmission schedules have been rejected because the customer either did not or could not provide a complete tag.  In other instances, control area operators have notified transmission customers that they will not schedule service for a transaction that has not been completely tagged, and the customer has had to submit information to complete a tag, even in cases where the requester was not the responsible party under NERC’s Policy 3 (</w:t>
      </w:r>
      <w:r>
        <w:rPr>
          <w:i/>
          <w:iCs/>
          <w:sz w:val="24"/>
        </w:rPr>
        <w:t>See</w:t>
      </w:r>
      <w:r>
        <w:rPr>
          <w:sz w:val="24"/>
        </w:rPr>
        <w:t xml:space="preserve"> App. D.E.3.).</w:t>
      </w:r>
      <w:r>
        <w:rPr>
          <w:rStyle w:val="FootnoteCharacters"/>
          <w:rStyle w:val="FootnoteReference"/>
          <w:sz w:val="24"/>
          <w:vertAlign w:val="superscript"/>
        </w:rPr>
        <w:footnoteReference w:id="41"/>
      </w:r>
      <w:r>
        <w:rPr>
          <w:sz w:val="24"/>
        </w:rPr>
        <w:t xml:space="preserve">  In effect, tagging has become an extra-tariff term and condition on transmission access in violation of FPA section 205's requirement that “classification, practices, and regulations” affecting transmission be included in a rate schedule or tariff filed with, and determined to be just and reasonable by, the Commission. 16 U.S.C. §§ 824d(a), (c).</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Petitioners recognize that transmission line loading relief policies, including the tagging rule, implicate system reliability.  For this reason, some urge that these policies should remain subject to the discretion of system operators and not be specified in tariffs. The Commission has seen this argument before.  It rejected it then and, should reject it now.  Following Order No. 436's introduction of nondiscriminatory open access and Order No. 636's introduction of no-notice service into the natural gas industry, the natural gas pipelines asked for the ability to impose unilaterally operational control provisions for system reliability.  In both Orders No. 636 and 636-A, the Commission welcomed pipeline input on operational controls, but remained insistent that “the pipeline must include in its tariff all operational terms and conditions related to no-notice transportation service so that the Commission can review the reasonableness of those terms and conditions, and so that shippers will have notice as to what will be asked of them.”  </w:t>
      </w:r>
      <w:r>
        <w:rPr>
          <w:i/>
          <w:iCs/>
          <w:sz w:val="24"/>
        </w:rPr>
        <w:t>Pipeline Service Obligations and Revisions to Regulations Governing Self-Implementing Transportation; and Regulation of Natural Gas Pipelines after Wellhead Decontrol</w:t>
      </w:r>
      <w:r>
        <w:rPr>
          <w:sz w:val="24"/>
        </w:rPr>
        <w:t>, Order No. 636-A, [1991-96 Regs. Preambles] F.E.R.C. Stats. &amp; Regs. ¶ 30,950 at 30,575 (1992);</w:t>
      </w:r>
      <w:r>
        <w:rPr>
          <w:i/>
          <w:iCs/>
          <w:sz w:val="24"/>
        </w:rPr>
        <w:t xml:space="preserve"> see also id.</w:t>
      </w:r>
      <w:r>
        <w:rPr>
          <w:sz w:val="24"/>
        </w:rPr>
        <w:t xml:space="preserve"> (“Of course, the pipeline must include in its tariff . . . all of its operational terms and conditions in its tariff so that the Commission can determine" if they are reasonable).</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If the industry is in need of new or different operational or financial accounting rules to keep track of the growing number of transactions made possible by open access and to ensure system reliability, those rules need to be developed openly and with the Commission’s knowledge and approval, just as they were in the natural gas industry following Order No. 636.  They must not be delegated to private organizations with only selective representation, acting unilaterally.  In his statement upon signing the Energy Power Act of 1992, then-President George Bush instructed that when statutory provisions direct federal agencies to conform federal standards and procedures with standard or procedures of private organizations, the statute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t>must be interpreted consistent with the Appointments Clause of the Constitution, which requires that authority under Federal law be exercised only by officers of the United States, and not by private organizations and State officials.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t>. . . . Consistent with the Appointments Clause, the Secretaries should, when exercising their responsibilities under these provisions, reserve for themselves the final decision whether or to what extent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4"/>
        </w:rPr>
      </w:pPr>
      <w:r>
        <w:rPr>
          <w:sz w:val="24"/>
        </w:rPr>
        <w:t>to adopt these standards and procedures. .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iCs/>
          <w:sz w:val="24"/>
        </w:rPr>
        <w:t>Statement by President George Bush upon Signing H.R. 776</w:t>
      </w:r>
      <w:r>
        <w:rPr>
          <w:sz w:val="24"/>
        </w:rPr>
        <w:t>, 1992 U.S.C.C.A.N. 2534-2.</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fact that NERC has felt the need to act unilaterally to impose tagging and other rules on the industry as an extra-tariff condition on open access probably is symptomatic of the industry’s difficulties accounting for capacity and transactions in the presence of inconsistent transmission services -- </w:t>
      </w:r>
      <w:r>
        <w:rPr>
          <w:i/>
          <w:iCs/>
          <w:sz w:val="24"/>
        </w:rPr>
        <w:t>i.e.</w:t>
      </w:r>
      <w:r>
        <w:rPr>
          <w:sz w:val="24"/>
        </w:rPr>
        <w:t xml:space="preserve">, bundled versus unbundled, and point-to-point versus network integration under Order No. 888 and the </w:t>
      </w:r>
      <w:r>
        <w:rPr>
          <w:i/>
          <w:iCs/>
          <w:sz w:val="24"/>
        </w:rPr>
        <w:t xml:space="preserve">pro forma </w:t>
      </w:r>
      <w:r>
        <w:rPr>
          <w:sz w:val="24"/>
        </w:rPr>
        <w:t>tariff -- and an ineffective system of determining and communicating ATC.  It is now time for the Commission to reassert its exclusive jurisdiction over the wholesale power and transmission markets and help the industry sort out these difficulties.  The Commission can most effectively do so by instituting the rulemaking proposals detailed in this petition.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bCs/>
          <w:sz w:val="30"/>
          <w:szCs w:val="30"/>
        </w:rPr>
      </w:pPr>
      <w:r>
        <w:rPr>
          <w:b/>
          <w:bCs/>
          <w:sz w:val="30"/>
          <w:szCs w:val="30"/>
        </w:rPr>
        <w:t>VI.</w:t>
        <w:tab/>
        <w:t>THE COMMISSION CAN TAKE IMMEDIATE STEPS TO PROMOTE MORE EFFECTIVE COMPETITION BY CLARIFYING OR RECONSIDERING SPECIFIC ELEMENTS OF THE EXISTING RULES OF OPEN ACCESS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central message of this petition is that the continued orderly transition to a competitive electric power industry will require the Commission to move forward with the structural changes discussed in the preceding parts of this petition.  Absent structural reforms, the Commission will have to rely on a growing corpus of largely ineffective behavioral rules and regulations to police incentives of transmission owners and operators to discriminate in favor of their merchant function and their affiliates’ merchant activities.  Structural reforms, however, cannot be implemented overnight.  Pending adoption and implementation of structural reforms, there is not necessarily a need for more behavioral rules and regulations, but rather for better ones, including limited clarifications or revisions to the existing </w:t>
      </w:r>
      <w:r>
        <w:rPr>
          <w:i/>
          <w:iCs/>
          <w:sz w:val="24"/>
        </w:rPr>
        <w:t xml:space="preserve">pro forma </w:t>
      </w:r>
      <w:r>
        <w:rPr>
          <w:sz w:val="24"/>
        </w:rPr>
        <w:t xml:space="preserve">transmission tariffs.  The changes requested are based on over twenty months of experience operating under the tariffs.  In App. F, we list, on a section-by-section basis, the clarifications and reconsiderations of the </w:t>
      </w:r>
      <w:r>
        <w:rPr>
          <w:i/>
          <w:iCs/>
          <w:sz w:val="24"/>
        </w:rPr>
        <w:t>pro forma</w:t>
      </w:r>
      <w:r>
        <w:rPr>
          <w:sz w:val="24"/>
        </w:rPr>
        <w:t xml:space="preserve"> tariff that we seek.  In the discussion below, we explain why these clarifications or reconsiderations are needed.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4"/>
        </w:rPr>
      </w:pPr>
      <w:r>
        <w:rPr>
          <w:b/>
          <w:bCs/>
          <w:i/>
          <w:iCs/>
          <w:sz w:val="26"/>
          <w:szCs w:val="26"/>
        </w:rPr>
        <w:t>A.</w:t>
        <w:tab/>
        <w:t>Ensuring Accurate, Timely and Complete Reporting of ATC and TTC.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As discussed in Part IV above, developing an effective strategy for remedying the problems surrounding the calculation and disclosure of ATC will require grappling with a number of interrelated issues.  The elements of such a strategy should include the following.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2160" w:end="0"/>
        <w:jc w:val="both"/>
        <w:rPr/>
      </w:pPr>
      <w:r>
        <w:rPr>
          <w:b/>
          <w:bCs/>
          <w:i/>
          <w:iCs/>
          <w:sz w:val="24"/>
        </w:rPr>
        <w:t>1.</w:t>
        <w:tab/>
        <w:t>Independent oversight</w:t>
      </w:r>
      <w:r>
        <w:rPr>
          <w:sz w:val="24"/>
        </w:rPr>
        <w:t xml:space="preserve">.  In order to provide the wholesale market unbiased estimates of transmission capability according to generally accepted standards, the Commission should oversee the formation of one or more </w:t>
      </w:r>
      <w:r>
        <w:rPr>
          <w:i/>
          <w:iCs/>
          <w:sz w:val="24"/>
        </w:rPr>
        <w:t>independent</w:t>
      </w:r>
      <w:r>
        <w:rPr>
          <w:sz w:val="24"/>
        </w:rPr>
        <w:t xml:space="preserve"> entities responsible for assessing and reporting TTC and ATC on a regional or super-regional basis, and managing line loading rules to minimize curtailment.  Two industry groups, the Commercial Practices Working Group and the OASIS How Working Group, have both recognized that, “[b]ecause of the effect of parallel flows, ATC is a wide-area phenomenon.  The market needs ATC information that is supported by coordination and data exchange between regions.”</w:t>
      </w:r>
      <w:r>
        <w:rPr>
          <w:rStyle w:val="FootnoteCharacters"/>
          <w:rStyle w:val="FootnoteReference"/>
          <w:sz w:val="24"/>
          <w:vertAlign w:val="superscript"/>
        </w:rPr>
        <w:footnoteReference w:id="42"/>
      </w:r>
      <w:r>
        <w:rPr>
          <w:sz w:val="24"/>
        </w:rPr>
        <w:t xml:space="preserve">  Consistent with this reality, the job of collecting and analyzing information on power flows across the grid should be entrusted to </w:t>
      </w:r>
      <w:r>
        <w:rPr>
          <w:i/>
          <w:iCs/>
          <w:sz w:val="24"/>
        </w:rPr>
        <w:t>independent</w:t>
      </w:r>
      <w:r>
        <w:rPr>
          <w:sz w:val="24"/>
        </w:rPr>
        <w:t xml:space="preserve"> ATC monitoring entities</w:t>
      </w:r>
      <w:r>
        <w:rPr>
          <w:rStyle w:val="FootnoteCharacters"/>
          <w:rStyle w:val="FootnoteReference"/>
          <w:sz w:val="24"/>
          <w:vertAlign w:val="superscript"/>
        </w:rPr>
        <w:footnoteReference w:id="43"/>
      </w:r>
      <w:r>
        <w:rPr>
          <w:sz w:val="24"/>
        </w:rPr>
        <w:t xml:space="preserve"> rather than to the transmission provider as is now the case.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2160" w:end="0"/>
        <w:jc w:val="both"/>
        <w:rPr/>
      </w:pPr>
      <w:r>
        <w:rPr>
          <w:b/>
          <w:bCs/>
          <w:i/>
          <w:iCs/>
          <w:sz w:val="24"/>
        </w:rPr>
        <w:t>2.</w:t>
        <w:tab/>
        <w:t>Timely reporting of insufficient ATC for nonfirm service</w:t>
      </w:r>
      <w:r>
        <w:rPr>
          <w:sz w:val="24"/>
        </w:rPr>
        <w:t xml:space="preserve">.  Customers who request a determination of nonfirm ATC under section 18.4 of the tariff must have a reasonable interval in which to act on the answer, especially if the provider reports no ATC.  The Commission should clarify that pursuant to section 18.4, a transmission provider may not just sit on a “tendered schedule,” and then report that there is no ATC when it is too late for the nonfirm buyer to make other plans.  Transmission providers should be obligated to report insufficient ATC by a reasonable time in advance of the nonfirm scheduling deadline.  Similarly, a customer’s window to respond to a determination under section 18.4 that there </w:t>
      </w:r>
      <w:r>
        <w:rPr>
          <w:i/>
          <w:iCs/>
          <w:sz w:val="24"/>
        </w:rPr>
        <w:t>is</w:t>
      </w:r>
      <w:r>
        <w:rPr>
          <w:sz w:val="24"/>
        </w:rPr>
        <w:t xml:space="preserve"> ATC should be at least one half of the minimum time remaining before the commencement of service when the provider posts its answer -- </w:t>
      </w:r>
      <w:r>
        <w:rPr>
          <w:i/>
          <w:iCs/>
          <w:sz w:val="24"/>
        </w:rPr>
        <w:t>i.e.</w:t>
      </w:r>
      <w:r>
        <w:rPr>
          <w:sz w:val="24"/>
        </w:rPr>
        <w:t>, 15 minutes for hourly and daily service (half of 30 minutes); two hours for weekly nonfirm service; one day for monthly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2160" w:end="0"/>
        <w:jc w:val="both"/>
        <w:rPr/>
      </w:pPr>
      <w:r>
        <w:rPr>
          <w:b/>
          <w:bCs/>
          <w:i/>
          <w:iCs/>
          <w:sz w:val="24"/>
        </w:rPr>
        <w:t>3.</w:t>
      </w:r>
      <w:r>
        <w:rPr>
          <w:i/>
          <w:iCs/>
          <w:sz w:val="24"/>
        </w:rPr>
        <w:tab/>
      </w:r>
      <w:r>
        <w:rPr>
          <w:b/>
          <w:bCs/>
          <w:i/>
          <w:iCs/>
          <w:sz w:val="24"/>
        </w:rPr>
        <w:t>Cost and timing of system impact studies</w:t>
      </w:r>
      <w:r>
        <w:rPr>
          <w:b/>
          <w:bCs/>
          <w:sz w:val="24"/>
        </w:rPr>
        <w:t xml:space="preserve">.  </w:t>
      </w:r>
      <w:r>
        <w:rPr>
          <w:sz w:val="24"/>
        </w:rPr>
        <w:t>At a minimum, the Commission should clarify or amend section 19 of the tariff to allow customers to require a transmission provider to conduct a system impact study in connection with a request for firm service, at the customer’s expense.  Additionally, the Commission should require the transmission provider to provide either a binding estimate of costs of such a study, or gain the consent of the customer before exceeding a specified cost cap.  Further, the time frames for system studies for service requests for terms of less than a year should be shorter than studies for longer-term service.  A system impact study for a month of service, for instance, should reasonably be finished in less than one week.</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2160" w:end="0"/>
        <w:jc w:val="both"/>
        <w:rPr/>
      </w:pPr>
      <w:r>
        <w:rPr>
          <w:b/>
          <w:bCs/>
          <w:i/>
          <w:iCs/>
          <w:sz w:val="24"/>
        </w:rPr>
        <w:t>4.</w:t>
        <w:tab/>
        <w:t>Presumptive standards</w:t>
      </w:r>
      <w:r>
        <w:rPr>
          <w:sz w:val="24"/>
        </w:rPr>
        <w:t>.  To provide a context for the ATC monitoring entities (or system impact studies), the Commission should direct the industry to develop presumptive standards for deriving the components of ATC, such as the transmission reserve margin (“TRM”).  Additionally, the methods of calculating and accounting for real power losses should be standardized, and these issues could be included within the general discussion of ATC.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The Commercial Practices Working Group plans to ask the NERC Board of Trustees to commit funding to accelerate the timetable of the ATC Working Group, which presently plans to complete its review of ATC estimation methods by March 1999.  Petitioners support the intent of this activity, but not the timing.  Power markets need a speedier remedy.  The Commission should strongly urge NERC to provide funding for a consensus report on ATC calculation to be filed with the Commission  no later than August 1, 1998.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2160" w:end="0"/>
        <w:jc w:val="both"/>
        <w:rPr/>
      </w:pPr>
      <w:r>
        <w:rPr>
          <w:b/>
          <w:bCs/>
          <w:i/>
          <w:iCs/>
          <w:sz w:val="24"/>
        </w:rPr>
        <w:t>5.</w:t>
        <w:tab/>
        <w:t>Post all transmission on OASIS.</w:t>
      </w:r>
      <w:r>
        <w:rPr>
          <w:sz w:val="24"/>
        </w:rPr>
        <w:t xml:space="preserve">  Even independent monitors and consensus standards, as proposed above, cannot ensure reliable estimates of transfer capability unless operators are required to disclose on OASIS </w:t>
      </w:r>
      <w:r>
        <w:rPr>
          <w:i/>
          <w:iCs/>
          <w:sz w:val="24"/>
        </w:rPr>
        <w:t>all</w:t>
      </w:r>
      <w:r>
        <w:rPr>
          <w:sz w:val="24"/>
        </w:rPr>
        <w:t xml:space="preserve"> uses of their transmission systems, including transactions on behalf of captive retail customers.</w:t>
      </w:r>
      <w:r>
        <w:rPr>
          <w:rStyle w:val="FootnoteCharacters"/>
          <w:rStyle w:val="FootnoteReference"/>
          <w:sz w:val="24"/>
          <w:vertAlign w:val="superscript"/>
        </w:rPr>
        <w:footnoteReference w:id="44"/>
      </w:r>
      <w:r>
        <w:rPr>
          <w:sz w:val="24"/>
        </w:rPr>
        <w:t xml:space="preserve">  As we have argued above in Part IV. B., OASIS cannot serve its purpose, and the Commission cannot effectively overcome the problems with ATC postings unless </w:t>
      </w:r>
      <w:r>
        <w:rPr>
          <w:i/>
          <w:iCs/>
          <w:sz w:val="24"/>
        </w:rPr>
        <w:t>all</w:t>
      </w:r>
      <w:r>
        <w:rPr>
          <w:sz w:val="24"/>
        </w:rPr>
        <w:t xml:space="preserve"> transactions for wholesale </w:t>
      </w:r>
      <w:r>
        <w:rPr>
          <w:i/>
          <w:iCs/>
          <w:sz w:val="24"/>
        </w:rPr>
        <w:t>and</w:t>
      </w:r>
      <w:r>
        <w:rPr>
          <w:sz w:val="24"/>
        </w:rPr>
        <w:t xml:space="preserve"> captive load are accurately disclosed and accounted for.  The Commission can and should immediately require transmission-owning utilities to post on OASIS </w:t>
      </w:r>
      <w:r>
        <w:rPr>
          <w:i/>
          <w:iCs/>
          <w:sz w:val="24"/>
        </w:rPr>
        <w:t>all</w:t>
      </w:r>
      <w:r>
        <w:rPr>
          <w:sz w:val="24"/>
        </w:rPr>
        <w:t xml:space="preserve"> transmission for retail captive load, including amounts reserved for capacity benefit margin; </w:t>
      </w:r>
      <w:r>
        <w:rPr>
          <w:i/>
          <w:iCs/>
          <w:sz w:val="24"/>
        </w:rPr>
        <w:t>all</w:t>
      </w:r>
      <w:r>
        <w:rPr>
          <w:sz w:val="24"/>
        </w:rPr>
        <w:t xml:space="preserve"> network integration service provided to wholesale customers; and, equally important, </w:t>
      </w:r>
      <w:r>
        <w:rPr>
          <w:i/>
          <w:iCs/>
          <w:sz w:val="24"/>
        </w:rPr>
        <w:t>all</w:t>
      </w:r>
      <w:r>
        <w:rPr>
          <w:sz w:val="24"/>
        </w:rPr>
        <w:t xml:space="preserve"> transmission under “grandfathered,” pre-Order No. 888 service agreements. Transmission providers should also be required to post on OASIS the expected or actual termination date of service.  Transmission providers that violate the ATC reporting rules, standards and protocols must be sanctioned effectively.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2160" w:end="0"/>
        <w:jc w:val="both"/>
        <w:rPr/>
      </w:pPr>
      <w:r>
        <w:rPr>
          <w:b/>
          <w:bCs/>
          <w:i/>
          <w:iCs/>
          <w:sz w:val="24"/>
        </w:rPr>
        <w:t>6.</w:t>
        <w:tab/>
        <w:t>Investigations and enforcement.</w:t>
      </w:r>
      <w:r>
        <w:rPr>
          <w:sz w:val="24"/>
        </w:rPr>
        <w:t xml:space="preserve">  Transmission customers should be able to file notices of potential ATC-related abuses with an independent ATC monitor or with the Commission.  If an alleged violation is found to be credible, enforcement staff personnel should be empowered to investigate without revealing the name of the complaining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main goals of the Commission’s enforcement program should be to ensure that transmission owners, within reason:  (1) accurately and promptly post all uses of their systems, (2) offer for sale all of the ATC that they post, and (3) sell </w:t>
      </w:r>
      <w:r>
        <w:rPr>
          <w:i/>
          <w:iCs/>
          <w:sz w:val="24"/>
        </w:rPr>
        <w:t>only</w:t>
      </w:r>
      <w:r>
        <w:rPr>
          <w:sz w:val="24"/>
        </w:rPr>
        <w:t xml:space="preserve"> the ATC that they post.  Secondary goals should include identifying and investigating, with the help of customers, those situations where a transmission owner may be using its transmission system, or its common ownership of transmission and generation assets, to gain competitive advantages in power destination markets.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2160" w:end="0"/>
        <w:jc w:val="both"/>
        <w:rPr/>
      </w:pPr>
      <w:r>
        <w:rPr>
          <w:b/>
          <w:bCs/>
          <w:i/>
          <w:iCs/>
          <w:sz w:val="24"/>
        </w:rPr>
        <w:t>7.</w:t>
        <w:tab/>
        <w:t>Effective sanctions.</w:t>
      </w:r>
      <w:r>
        <w:rPr>
          <w:sz w:val="24"/>
        </w:rPr>
        <w:t xml:space="preserve">  When anti-competitive abuses of the transmission grid or of OASIS are uncovered, the Commission needs to have in place a range of sanctions to provide suitable, incremental deterrence.  The Commission already has authority to impose liability; yet, in order to be most effective, the menu of sanctions should be announced in a policy statement or in a clarification of Order No. 889-A as a deterrent.  Examples of sanctions that should be included in the menu include:</w:t>
      </w:r>
    </w:p>
    <w:p>
      <w:pPr>
        <w:pStyle w:val="Style14"/>
        <w:widowControl/>
        <w:numPr>
          <w:ilvl w:val="8"/>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Refunding a transmission payment, or providing a future transmission transaction to a non-utility customer for free (when, for example, a transaction was inappropriately curtailed);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Style14"/>
        <w:widowControl/>
        <w:numPr>
          <w:ilvl w:val="8"/>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Excluding equity return from the transmission rates for third parties for a specified period;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Style14"/>
        <w:widowControl/>
        <w:numPr>
          <w:ilvl w:val="8"/>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sz w:val="24"/>
        </w:rPr>
        <w:t>Reducing the transmission owner’s equity return rate for transmission assets according to a schedule that adjusts the percentage reduction in accordance with the gravity of the violation;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Style14"/>
        <w:widowControl/>
        <w:numPr>
          <w:ilvl w:val="8"/>
          <w:numId w:val="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sz w:val="24"/>
        </w:rPr>
        <w:t xml:space="preserve">Revoking the right of a utility to sell power at market-based rates.  </w:t>
      </w:r>
      <w:r>
        <w:rPr>
          <w:i/>
          <w:iCs/>
          <w:sz w:val="24"/>
        </w:rPr>
        <w:t>See, e.g.</w:t>
      </w:r>
      <w:r>
        <w:rPr>
          <w:sz w:val="24"/>
        </w:rPr>
        <w:t xml:space="preserve">, </w:t>
      </w:r>
      <w:r>
        <w:rPr>
          <w:i/>
          <w:iCs/>
          <w:sz w:val="24"/>
        </w:rPr>
        <w:t>Pacific Northwest Generation Cooperative</w:t>
      </w:r>
      <w:r>
        <w:rPr>
          <w:sz w:val="24"/>
        </w:rPr>
        <w:t xml:space="preserve">, 78 F.E.R.C. ¶ 61,018, </w:t>
      </w:r>
      <w:r>
        <w:rPr>
          <w:i/>
          <w:iCs/>
          <w:sz w:val="24"/>
        </w:rPr>
        <w:t>reh’g granted</w:t>
      </w:r>
      <w:r>
        <w:rPr>
          <w:sz w:val="24"/>
        </w:rPr>
        <w:t>, 78 F.E.R.C. ¶ 61,275 (1997).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2160"/>
        <w:jc w:val="both"/>
        <w:rPr>
          <w:b/>
          <w:bCs/>
          <w:i/>
          <w:i/>
          <w:iCs/>
          <w:sz w:val="24"/>
        </w:rPr>
      </w:pPr>
      <w:r>
        <w:rPr>
          <w:b/>
          <w:bCs/>
          <w:i/>
          <w:iCs/>
          <w:sz w:val="26"/>
          <w:szCs w:val="26"/>
        </w:rPr>
        <w:t>B.</w:t>
        <w:tab/>
        <w:t>Plain Public Rules on Reservation, Scheduling, Tagging and Curtailment Schemes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The Commission should call an immediate halt to imposition of extra-tariff terms and conditions of transmission access, including rules for reserving, scheduling (including determining ATC), tagging and curtailing.  The Commission needs to clarify that transmission protocols of NERC or any other body </w:t>
      </w:r>
      <w:r>
        <w:rPr>
          <w:i/>
          <w:iCs/>
          <w:sz w:val="24"/>
        </w:rPr>
        <w:t>do not</w:t>
      </w:r>
      <w:r>
        <w:rPr>
          <w:sz w:val="24"/>
        </w:rPr>
        <w:t xml:space="preserve"> override and must be consistent with the express provisions of the </w:t>
      </w:r>
      <w:r>
        <w:rPr>
          <w:i/>
          <w:iCs/>
          <w:sz w:val="24"/>
        </w:rPr>
        <w:t>pro forma</w:t>
      </w:r>
      <w:r>
        <w:rPr>
          <w:sz w:val="24"/>
        </w:rPr>
        <w:t xml:space="preserve"> tariff.  To the extent the Commission and the industry determine that system reliability requires new rules and regulations, the Commission should initiate proceedings to determine an appropriate, non-discriminatory system for achieving the objectives of a practice such as tagging -- </w:t>
      </w:r>
      <w:r>
        <w:rPr>
          <w:i/>
          <w:iCs/>
          <w:sz w:val="24"/>
        </w:rPr>
        <w:t xml:space="preserve">viz, </w:t>
      </w:r>
      <w:r>
        <w:rPr>
          <w:sz w:val="24"/>
        </w:rPr>
        <w:t>identifying interchange transactions and modeling loop flow.</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To protect against a proliferation of unilateral rules, an important step would be to clarify that firm service means </w:t>
      </w:r>
      <w:r>
        <w:rPr>
          <w:i/>
          <w:iCs/>
          <w:sz w:val="24"/>
        </w:rPr>
        <w:t>firm</w:t>
      </w:r>
      <w:r>
        <w:rPr>
          <w:sz w:val="24"/>
        </w:rPr>
        <w:t xml:space="preserve">.  As the Commission has said, “[A] firm transmission customer pays a firm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sz w:val="24"/>
        </w:rPr>
        <w:t xml:space="preserve">transmission rate in order to use the transmission system in an uninterrupted manner for the term of the transaction.”  </w:t>
      </w:r>
      <w:r>
        <w:rPr>
          <w:i/>
          <w:iCs/>
          <w:sz w:val="24"/>
        </w:rPr>
        <w:t>Florida Power &amp; Light Co.</w:t>
      </w:r>
      <w:r>
        <w:rPr>
          <w:sz w:val="24"/>
        </w:rPr>
        <w:t xml:space="preserve">, 70 F.E.R.C. ¶ 61,158, at 61,482 (1995).  When a transmission customer pays for firm service, the provider must be obliged to complete the transaction, subject only to genuine </w:t>
      </w:r>
      <w:r>
        <w:rPr>
          <w:i/>
          <w:iCs/>
          <w:sz w:val="24"/>
        </w:rPr>
        <w:t>force majeure</w:t>
      </w:r>
      <w:r>
        <w:rPr>
          <w:sz w:val="24"/>
        </w:rPr>
        <w:t xml:space="preserve"> contingencies.  The Commission should clarify that an unsubstantiated call for line loading relief by a NERC Security Coordinator does </w:t>
      </w:r>
      <w:r>
        <w:rPr>
          <w:i/>
          <w:iCs/>
          <w:sz w:val="24"/>
        </w:rPr>
        <w:t>not</w:t>
      </w:r>
      <w:r>
        <w:rPr>
          <w:sz w:val="24"/>
        </w:rPr>
        <w:t xml:space="preserve"> qualify as an emergency or constitute </w:t>
      </w:r>
      <w:r>
        <w:rPr>
          <w:i/>
          <w:iCs/>
          <w:sz w:val="24"/>
        </w:rPr>
        <w:t>force majeure</w:t>
      </w:r>
      <w:r>
        <w:rPr>
          <w:sz w:val="24"/>
        </w:rPr>
        <w:t xml:space="preserve">.  Consistent with the </w:t>
      </w:r>
      <w:r>
        <w:rPr>
          <w:i/>
          <w:iCs/>
          <w:sz w:val="24"/>
        </w:rPr>
        <w:t xml:space="preserve">pro forma </w:t>
      </w:r>
      <w:r>
        <w:rPr>
          <w:sz w:val="24"/>
        </w:rPr>
        <w:t xml:space="preserve">tariff, if the transmission provider is able to cause the redispatch of its system to alleviate a constraint that threatens the scheduled service (or, if necessary, to pay another transmission operator to redispatch), then the provider should be obligated to do so.  If it fails to obtain redispatch, the provider should face liability in ordinary contract damages, potentially under a liquidated damages clause written into the </w:t>
      </w:r>
      <w:r>
        <w:rPr>
          <w:i/>
          <w:iCs/>
          <w:sz w:val="24"/>
        </w:rPr>
        <w:t>pro forma</w:t>
      </w:r>
      <w:r>
        <w:rPr>
          <w:sz w:val="24"/>
        </w:rPr>
        <w:t xml:space="preserve"> tariff.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An additional behavioral solution is to encourage transmission providers to post on OASIS the redispatch costs that might be associated with a firm transaction.  Posting would allow transmission counter parties to condition a firm reservation on agreement by the customer to pay for redispatch.  To ensure comparability and commercial reliability, however, transmission providers should be required to post a </w:t>
      </w:r>
      <w:r>
        <w:rPr>
          <w:i/>
          <w:iCs/>
          <w:sz w:val="24"/>
        </w:rPr>
        <w:t>definite</w:t>
      </w:r>
      <w:r>
        <w:rPr>
          <w:sz w:val="24"/>
        </w:rPr>
        <w:t xml:space="preserve"> price or price ceiling for redispatch (as well as the method of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t>calculating such costs) on OASIS in advance, so that customers can make informed purchasing decisions and not be subject to surprise charges.</w:t>
      </w:r>
      <w:r>
        <w:rPr>
          <w:rStyle w:val="FootnoteCharacters"/>
          <w:rStyle w:val="FootnoteReference"/>
          <w:sz w:val="24"/>
          <w:vertAlign w:val="superscript"/>
        </w:rPr>
        <w:footnoteReference w:id="45"/>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Creating a market for redispatch in connection with nonfirm point-to-point service would, likewise, improve the dependability and utility of nonfirm rights, while promoting efficient pricing and allocation of nonfirm uses of the grid.  Nonfirm transmission customers should have the right to </w:t>
      </w:r>
      <w:r>
        <w:rPr>
          <w:i/>
          <w:iCs/>
          <w:sz w:val="24"/>
        </w:rPr>
        <w:t>timely</w:t>
      </w:r>
      <w:r>
        <w:rPr>
          <w:sz w:val="24"/>
        </w:rPr>
        <w:t xml:space="preserve"> notice of a potential reliability-related interruption of service.  Nonfirm customers should then have the </w:t>
      </w:r>
      <w:r>
        <w:rPr>
          <w:i/>
          <w:iCs/>
          <w:sz w:val="24"/>
        </w:rPr>
        <w:t>option</w:t>
      </w:r>
      <w:r>
        <w:rPr>
          <w:sz w:val="24"/>
        </w:rPr>
        <w:t xml:space="preserve"> to pay for redispatch to alleviate this constraint and avoid interruption.  Creating a transparent, open market in redispatch pending implementation of a reservation-based tariff will allow buyers of point-to-point service a degree of control over the completion of nonfirm transactions that is more nearly comparable to the control that transmission-owning utilities enjoy when arranging transactions over their own systems.  It will also permit price signals to help allocate transmission space efficiently to those customers for whom it has the highest dollar value.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iCs/>
          <w:sz w:val="24"/>
        </w:rPr>
      </w:pPr>
      <w:r>
        <w:rPr>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b/>
          <w:bCs/>
          <w:i/>
          <w:i/>
          <w:iCs/>
          <w:sz w:val="24"/>
        </w:rPr>
      </w:pPr>
      <w:r>
        <w:rPr>
          <w:b/>
          <w:bCs/>
          <w:i/>
          <w:iCs/>
          <w:sz w:val="24"/>
        </w:rPr>
        <w:t>C.</w:t>
        <w:tab/>
        <w:t>Improving Liquidity and Reducing Transaction Costs of Firm and Nonfirm Point-to-Point Rights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Pending introduction of the structural reforms proposed in this petition, the wholesale market sorely needs a number of other incremental changes to make point-to-point transmission service less cumbersome.  These are actions that the Commission can and should take </w:t>
      </w:r>
      <w:r>
        <w:rPr>
          <w:i/>
          <w:iCs/>
          <w:sz w:val="24"/>
        </w:rPr>
        <w:t>now</w:t>
      </w:r>
      <w:r>
        <w:rPr>
          <w:sz w:val="24"/>
        </w:rPr>
        <w:t xml:space="preserve"> to reduce transaction costs.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1.</w:t>
        <w:tab/>
        <w:t xml:space="preserve">Firm point-to-point. </w:t>
      </w:r>
      <w:r>
        <w:rPr>
          <w:sz w:val="24"/>
        </w:rPr>
        <w:t xml:space="preserve"> Petitioners’ experience has been that in many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t>cases the failure to specify deadlines by which a transmission provider must respond to short-term firm transmission requests has resulted in firm service not being made available or the transmission provider waiting until the end of the fifteen-day period to find an application deficient or the sixty-day period to deny a request.  The Commission should require transmission providers to respond to a request for short-term firm service as soon as possible, but in no event more than the time provided for responses to nonfirm service requests.  Transmission providers should also be required to notify a transmission customer if its application is deficient within at most four hours of its receipt.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Finally, despite provisions in the </w:t>
      </w:r>
      <w:r>
        <w:rPr>
          <w:i/>
          <w:iCs/>
          <w:sz w:val="24"/>
        </w:rPr>
        <w:t>pro forma</w:t>
      </w:r>
      <w:r>
        <w:rPr>
          <w:sz w:val="24"/>
        </w:rPr>
        <w:t xml:space="preserve"> tariff that permit multiple receipt and delivery points under the same agreement, transmission providers have generally restricted requests to one receipt point and one delivery point.  The Commission should clarify that customers should be able to request multiple receipt and delivery points in a single application for firm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2.</w:t>
        <w:tab/>
        <w:t xml:space="preserve">Scheduling deadlines.  </w:t>
      </w:r>
      <w:r>
        <w:rPr>
          <w:sz w:val="24"/>
        </w:rPr>
        <w:t>In order to give new entrants and other transmission customers a fair opportunity to compete in short-term markets, short-term scheduling deadlines should be both comparable and uniform.  The deadline to schedule firm service should be noon, or later so that the deadline for the over-the-counter market (11:00 a.m.) corresponds to the scheduling deadlines.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Further, Petitioners’ experience has been that many transmission providers will not permit a</w:t>
      </w:r>
      <w:r>
        <w:rPr>
          <w:i/>
          <w:iCs/>
          <w:sz w:val="24"/>
        </w:rPr>
        <w:t xml:space="preserve"> firm</w:t>
      </w:r>
      <w:r>
        <w:rPr>
          <w:sz w:val="24"/>
        </w:rPr>
        <w:t xml:space="preserve"> customer to change its schedule after the 10:00 a.m. scheduling deadline where the change  increases the schedule and the transmission provider has re-sold reserved but unscheduled capacity.  The payment of a firm reservation charge should give the firm customer the right to recall its rights and to schedule or reschedule on short notice after 10:00 a.m.  This means that the transmission provider can resell reserved firm transmission only on a nonfirm basis.  There is no operational reason to allow transmission providers to sell the same rights twice.  Finally, the Commission should clarify that, in the event that the firm customer is unable to schedule or does not submit a schedule, it should incur no scheduling charge.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3.</w:t>
        <w:tab/>
        <w:t>Secondary interfaces</w:t>
      </w:r>
      <w:r>
        <w:rPr>
          <w:sz w:val="24"/>
        </w:rPr>
        <w:t>.  Transmission customers that do not serve captive retail loads are able to build a portfolio of transmission options over a given system by using long-term flexible point-to-point service, rather than network service.  For these long-term transmission customers, secondary-point service is the commercial equivalent of a network customer purchasing economy energy from a non-designated resource.  Since virtually all new entrants do not have captive retail loads and are therefore unable to buy network service, these two services -- secondary point and non-designated resource -- should have roughly comparable scheduling and curtailment priorities.</w:t>
      </w:r>
      <w:r>
        <w:rPr>
          <w:rStyle w:val="FootnoteCharacters"/>
          <w:rStyle w:val="FootnoteReference"/>
          <w:sz w:val="24"/>
          <w:vertAlign w:val="superscript"/>
        </w:rPr>
        <w:footnoteReference w:id="46"/>
      </w:r>
      <w:r>
        <w:rPr>
          <w:sz w:val="24"/>
        </w:rPr>
        <w:t xml:space="preserve">  Likewise, to improve comparability and the transferability of point-to-point rights, service over secondary interfaces should have the same scheduling priority as nonfirm network service from a non-designated resource -- except that point-to-point customers changing receipt or delivery points, unlike network customers, should not be able to displace stand-alone nonfirm service that is already scheduled.  Further, in curtailment situations, secondary-point service should enjoy slightly higher priority than nonfirm network service, since a point-to-point customer must incur new charges to obtain an alternative path.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sz w:val="24"/>
        </w:rPr>
      </w:pPr>
      <w:r>
        <w:rPr>
          <w:b/>
          <w:bCs/>
          <w:i/>
          <w:iCs/>
          <w:sz w:val="24"/>
        </w:rPr>
        <w:t>4.</w:t>
        <w:tab/>
        <w:t xml:space="preserve">Nonfirm service should be offered on a commodity-only basis.  </w:t>
      </w:r>
      <w:r>
        <w:rPr>
          <w:sz w:val="24"/>
        </w:rPr>
        <w:t>In comments on the Commission’s Notice of Proposed Rulemaking in Docket No. RM95-8, several parties predicted</w:t>
      </w:r>
      <w:r>
        <w:rPr>
          <w:rFonts w:cs="Times New Roman" w:ascii="Times New Roman" w:hAnsi="Times New Roman"/>
          <w:sz w:val="24"/>
        </w:rPr>
        <w:t xml:space="preserve"> that the risk of loss of “reservation” charges under the Commission’s proposed  nonfirm point-to-point service offering would suppress market opportunities that would otherwise be available under usage-based rates.</w:t>
      </w:r>
      <w:r>
        <w:rPr>
          <w:sz w:val="24"/>
        </w:rPr>
        <w:t xml:space="preserve">  Petitioners’ experience since implementation of Order No. 888 is that this prediction has come true.  Transmission customers are required to reserve nonfirm service and pay a reservation charge whether they are able to use the service or not.  For example, if a transmission customer reserves nonfirm transmission across three systems and is interrupted on one of the three systems, it must nonetheless pay a reservation charge for nonfirm service across two, and possibly three, of the systems.  This is the case even if service is curtailed pursuant to the transmission providers emergency procedures, service is interrupted for economic reasons --</w:t>
      </w:r>
      <w:r>
        <w:rPr>
          <w:i/>
          <w:iCs/>
          <w:sz w:val="24"/>
        </w:rPr>
        <w:t xml:space="preserve"> i.e</w:t>
      </w:r>
      <w:r>
        <w:rPr>
          <w:sz w:val="24"/>
        </w:rPr>
        <w:t>., one of the transmission providers has been offered a higher rate, a longer term, subsequently sells the capacity on a firm basis or decides to use the capacity for an economy purchase -- or the transmission provider simply decides that its ATC number is not correct.  The transmission customer must then pay another reservation charge to change its point of receipt to serve its load from another source.  By contrast,  transmission providers are insulated from any commensurate risk because they have sold the rights to their system on a firm, load ratio share basis, and thus do not risk collecting their costs if they receive no revenues from providing nonfirm service.</w:t>
      </w:r>
      <w:r>
        <w:rPr>
          <w:rStyle w:val="FootnoteCharacters"/>
          <w:rStyle w:val="FootnoteReference"/>
          <w:sz w:val="24"/>
          <w:vertAlign w:val="superscript"/>
        </w:rPr>
        <w:footnoteReference w:id="47"/>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Further, many needless problems arise because the Commission adopted a two-step purchasing process involving both a service reservation and a scheduling request.  This procedure (the reasons for which the Commission has never explained) is costly and cumbersome, especially when compared to the single-step process by which interruptible gas transportation service is sold by Commission-regulated natural gas pipelines.  The Commission should modify the nonfirm service procedure to adopt a one-step process for reserving and scheduling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5.</w:t>
        <w:tab/>
        <w:t>Bidding for and controlling nonfirm rights</w:t>
      </w:r>
      <w:r>
        <w:rPr>
          <w:sz w:val="24"/>
        </w:rPr>
        <w:t xml:space="preserve">.  The bid up process for buying nonfirm rights should stop at some reasonable point in advance of a transaction, so that the winning bidders can assert control over nonfirm rights, subject only to bumping by customers with </w:t>
      </w:r>
      <w:r>
        <w:rPr>
          <w:i/>
          <w:iCs/>
          <w:sz w:val="24"/>
        </w:rPr>
        <w:t>firm</w:t>
      </w:r>
      <w:r>
        <w:rPr>
          <w:sz w:val="24"/>
        </w:rPr>
        <w:t xml:space="preserve"> reservations that have not scheduled service earlier in the day.  So long as there is still a reservation process for nonfirm service, it makes no sense to impose limitations on how early a customer can request service.  A customer should be able to request service as soon as the provider is required to post the ATC.  As with firm service, scheduling deadlines for nonfirm service need to be uniform.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6.</w:t>
        <w:tab/>
        <w:t>Clarify rules of secondary market</w:t>
      </w:r>
      <w:r>
        <w:rPr>
          <w:sz w:val="24"/>
        </w:rPr>
        <w:t xml:space="preserve">.  The Commission should clarify that (1) owners of transmission rights can make a secondary market in any “lesser included”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t>transmission products or terms of service pursuant to section 23, (2) the duties of transmission providers, resellers and purchasers in this secondary transmission market will track ordinary contract principles governing assignments, and (3) changing the source or sink (or other incidental parts of a tag) for a transaction does not constitute a request for new service that affects reservation or curtailment priority.  The Commission should explain how to measure a transmission reseller’s “opportunity costs” under section 23.1.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7.</w:t>
        <w:tab/>
        <w:t>Changing receipt and delivery points and source and sink</w:t>
      </w:r>
      <w:r>
        <w:rPr>
          <w:sz w:val="24"/>
        </w:rPr>
        <w:t xml:space="preserve">.  Despite clear rules in section 22.2 of the </w:t>
      </w:r>
      <w:r>
        <w:rPr>
          <w:i/>
          <w:iCs/>
          <w:sz w:val="24"/>
        </w:rPr>
        <w:t>pro forma</w:t>
      </w:r>
      <w:r>
        <w:rPr>
          <w:sz w:val="24"/>
        </w:rPr>
        <w:t xml:space="preserve"> tariff, transmission providers persistently refuse to permit firm customers to change receipt and delivery points on a permanent basis.  The Commission should reiterate that a firm customer can freely change a receipt or delivery point on a </w:t>
      </w:r>
      <w:r>
        <w:rPr>
          <w:i/>
          <w:iCs/>
          <w:sz w:val="24"/>
        </w:rPr>
        <w:t>permanent</w:t>
      </w:r>
      <w:r>
        <w:rPr>
          <w:sz w:val="24"/>
        </w:rPr>
        <w:t xml:space="preserve"> basis, and continue to maintain its firm service priority.</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Additionally, a number of transmission providers deem a change in a source or sink behind a receipt or delivery point to be a change in service that converts a firm service agreement to a nonfirm priority</w:t>
      </w:r>
      <w:r>
        <w:rPr>
          <w:rStyle w:val="FootnoteCharacters"/>
          <w:rStyle w:val="FootnoteReference"/>
          <w:sz w:val="24"/>
          <w:vertAlign w:val="superscript"/>
        </w:rPr>
        <w:footnoteReference w:id="48"/>
      </w:r>
      <w:r>
        <w:rPr>
          <w:sz w:val="24"/>
        </w:rPr>
        <w:t xml:space="preserve"> or requires a new reservation (at an additional charge) under nonfirm service.  The Commission should clarify that merely changing the source or sink is not a change in service if there is no change to the receipt or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8.</w:t>
        <w:tab/>
        <w:t>Eliminate transaction-specific deposits.</w:t>
      </w:r>
      <w:r>
        <w:rPr>
          <w:sz w:val="24"/>
        </w:rPr>
        <w:t xml:space="preserve">  Creditworthy customers should not be subject to transaction-specific deposits where they can establish a long-term security arrangement with a transmission provider.  The requirement to provide a deposit for a short-term firm transaction results in many transactions not occurring because of the time involved in wire-transferring the deposit and the time it takes the Provider to confirm that the deposit has been received.  This is being used by a number of Providers as another reason to deny service.  The Commission should eliminate this requirement.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2160" w:end="0"/>
        <w:jc w:val="both"/>
        <w:rPr/>
      </w:pPr>
      <w:r>
        <w:rPr>
          <w:b/>
          <w:bCs/>
          <w:i/>
          <w:iCs/>
          <w:sz w:val="24"/>
        </w:rPr>
        <w:t>9.</w:t>
        <w:tab/>
        <w:t>Time-stamping</w:t>
      </w:r>
      <w:r>
        <w:rPr>
          <w:sz w:val="24"/>
        </w:rPr>
        <w:t>.  Because the timing of reservations is key to many bumping and curtailment issues, the Commission needs to provide an exact definition of a reservation “time stamp.”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480"/>
        <w:ind w:firstLine="2160" w:start="-1440" w:end="-1440"/>
        <w:jc w:val="both"/>
        <w:rPr/>
      </w:pPr>
      <w:r>
        <w:rPr>
          <w:b/>
          <w:bCs/>
          <w:i/>
          <w:iCs/>
          <w:sz w:val="24"/>
        </w:rPr>
        <w:t>10.</w:t>
        <w:tab/>
        <w:t>Standardized calculation of real power losses.</w:t>
      </w:r>
      <w:r>
        <w:rPr>
          <w:sz w:val="24"/>
        </w:rPr>
        <w:t xml:space="preserve">  The lack of standardization of the calculation of real power losses makes it more difficult for transmission customers to move power across the grid.  For example, some utilities make the calculation of the receipt quantity while others make it off of the delivery quantity.  Some utilities require a reservation of transmission capacity for losses, while others do not.  Some charge a transmission charge for losses, others do not.  Some transmission providers follow conventional rounding rules, rounding to the nearest whole megawatt, while others require that even 0.1 MW be rounded up to the next whole megawatt.</w:t>
      </w:r>
      <w:r>
        <w:rPr>
          <w:rStyle w:val="FootnoteCharacters"/>
          <w:rStyle w:val="FootnoteReference"/>
          <w:sz w:val="24"/>
          <w:vertAlign w:val="superscript"/>
        </w:rPr>
        <w:footnoteReference w:id="49"/>
      </w:r>
      <w:r>
        <w:rPr>
          <w:sz w:val="24"/>
        </w:rPr>
        <w:t xml:space="preserve">  The Commission should clarify that the calculation of and accounting for power losses should be standardized nationally.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480"/>
        <w:ind w:start="-1440" w:end="-1440"/>
        <w:jc w:val="both"/>
        <w:rPr>
          <w:sz w:val="24"/>
        </w:rPr>
      </w:pPr>
      <w:r>
        <w:rPr>
          <w:sz w:val="24"/>
        </w:rPr>
      </w:r>
    </w:p>
    <w:p>
      <w:pPr>
        <w:pStyle w:val="Normal"/>
        <w:widowControl/>
        <w:tabs>
          <w:tab w:val="clear" w:pos="720"/>
          <w:tab w:val="center" w:pos="3240" w:leader="none"/>
          <w:tab w:val="left" w:pos="3600" w:leader="none"/>
          <w:tab w:val="left" w:pos="4320" w:leader="none"/>
          <w:tab w:val="left" w:pos="5040" w:leader="none"/>
          <w:tab w:val="left" w:pos="5760" w:leader="none"/>
          <w:tab w:val="left" w:pos="6480" w:leader="none"/>
          <w:tab w:val="left" w:pos="7200" w:leader="none"/>
        </w:tabs>
        <w:spacing w:lineRule="auto" w:line="480"/>
        <w:ind w:start="-1440" w:end="-1440"/>
        <w:jc w:val="both"/>
        <w:rPr>
          <w:sz w:val="30"/>
          <w:szCs w:val="30"/>
        </w:rPr>
      </w:pPr>
      <w:r>
        <w:rPr>
          <w:sz w:val="24"/>
        </w:rPr>
        <w:tab/>
      </w:r>
      <w:r>
        <w:rPr>
          <w:b/>
          <w:bCs/>
          <w:sz w:val="30"/>
          <w:szCs w:val="30"/>
        </w:rPr>
        <w:t>CONCLUSION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480"/>
        <w:ind w:firstLine="720" w:start="-1440" w:end="-1440"/>
        <w:jc w:val="both"/>
        <w:rPr>
          <w:sz w:val="24"/>
        </w:rPr>
      </w:pPr>
      <w:r>
        <w:rPr>
          <w:sz w:val="24"/>
        </w:rPr>
        <w:t>For the foregoing reasons, Petitioners respectfully ask the Commission to undertake expeditiously the rulemaking proceedings requested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480"/>
        <w:ind w:start="2880" w:end="-1440"/>
        <w:jc w:val="both"/>
        <w:rPr>
          <w:sz w:val="24"/>
        </w:rPr>
      </w:pPr>
      <w:r>
        <w:rPr>
          <w:sz w:val="24"/>
        </w:rPr>
        <w:t>Respectfully submitted,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480"/>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4"/>
        </w:rPr>
      </w:pPr>
      <w:r>
        <w:rPr>
          <w:sz w:val="24"/>
        </w:rPr>
        <w:t>Jeffrey D. Watkiss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4"/>
        </w:rPr>
      </w:pPr>
      <w:r>
        <w:rPr>
          <w:sz w:val="24"/>
        </w:rPr>
        <w:t>Bracewell &amp; Patterson, L.L.P.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4"/>
        </w:rPr>
      </w:pPr>
      <w:r>
        <w:rPr>
          <w:sz w:val="24"/>
        </w:rPr>
        <w:t>2000 K Street, N.W., Suite 500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4"/>
        </w:rPr>
      </w:pPr>
      <w:r>
        <w:rPr>
          <w:sz w:val="24"/>
        </w:rPr>
        <w:t>Washington, DC 20006-1872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4"/>
        </w:rPr>
      </w:pPr>
      <w:r>
        <w:rPr>
          <w:sz w:val="24"/>
        </w:rPr>
        <w:t>(202) 828-5800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4"/>
        </w:rPr>
      </w:pPr>
      <w:r>
        <w:rPr>
          <w:sz w:val="24"/>
        </w:rPr>
        <w:t>(202) 223-1225 (fax)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2"/>
          <w:szCs w:val="22"/>
        </w:rPr>
      </w:pPr>
      <w:r>
        <w:rPr>
          <w:sz w:val="22"/>
          <w:szCs w:val="22"/>
        </w:rPr>
        <w:t>dwatkiss@bracepatt.com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szCs w:val="22"/>
        </w:rPr>
      </w:pPr>
      <w:r>
        <w:rPr>
          <w:sz w:val="24"/>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start="-1440" w:end="-1440"/>
        <w:jc w:val="both"/>
        <w:rPr>
          <w:sz w:val="24"/>
        </w:rPr>
      </w:pPr>
      <w:r>
        <w:rPr>
          <w:sz w:val="24"/>
        </w:rPr>
        <w:t>COUNSEL TO PETITIONERS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480"/>
        <w:ind w:start="-1440" w:end="-1440"/>
        <w:jc w:val="both"/>
        <w:rPr>
          <w:sz w:val="24"/>
        </w:rPr>
      </w:pPr>
      <w:r>
        <w:rPr>
          <w:sz w:val="24"/>
        </w:rPr>
        <w:t>March 25, 1998</w:t>
      </w:r>
    </w:p>
    <w:p>
      <w:pPr>
        <w:sectPr>
          <w:footnotePr>
            <w:numFmt w:val="decimal"/>
          </w:footnotePr>
          <w:type w:val="continuous"/>
          <w:pgSz w:w="12240" w:h="15840"/>
          <w:pgMar w:left="2880" w:right="288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tab/>
      </w:r>
      <w:r>
        <w:rPr>
          <w:b/>
          <w:bCs/>
          <w:sz w:val="30"/>
          <w:szCs w:val="30"/>
        </w:rPr>
        <w:t>APPENDIX A-2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bCs/>
          <w:sz w:val="24"/>
        </w:rPr>
      </w:pPr>
      <w:r>
        <w:rPr>
          <w:b/>
          <w:bCs/>
          <w:sz w:val="24"/>
        </w:rPr>
        <w:tab/>
      </w:r>
      <w:r>
        <w:rPr>
          <w:b/>
          <w:bCs/>
          <w:sz w:val="28"/>
          <w:szCs w:val="28"/>
        </w:rPr>
        <w:t>CORRESPONDENCE &amp; COMMUNICATIONS</w:t>
      </w:r>
    </w:p>
    <w:p>
      <w:pPr>
        <w:sectPr>
          <w:headerReference w:type="default" r:id="rId3"/>
          <w:footerReference w:type="default" r:id="rId4"/>
          <w:footnotePr>
            <w:numFmt w:val="decimal"/>
          </w:footnotePr>
          <w:type w:val="nextPage"/>
          <w:pgSz w:w="12240" w:h="15840"/>
          <w:pgMar w:left="1440" w:right="1440" w:gutter="0" w:header="1440" w:top="1496" w:footer="475" w:bottom="531"/>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i/>
          <w:i/>
          <w:iCs/>
          <w:sz w:val="24"/>
        </w:rPr>
      </w:pPr>
      <w:r>
        <w:rPr>
          <w:i/>
          <w:iCs/>
          <w:sz w:val="24"/>
        </w:rPr>
        <w:t>For Altra Energy Technologies,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Susan L. Bauch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Vice President and General Counsel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Altra Energy Technologies,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1221 Lamar - Suite 950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Houston, TX  77010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(713) 210-8041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(713) 210-8005 (fax)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2"/>
          <w:szCs w:val="22"/>
        </w:rPr>
      </w:pPr>
      <w:r>
        <w:rPr>
          <w:sz w:val="22"/>
          <w:szCs w:val="22"/>
        </w:rPr>
        <w:t>sbauch@altranet.com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i/>
          <w:i/>
          <w:iCs/>
          <w:sz w:val="24"/>
          <w:szCs w:val="22"/>
        </w:rPr>
      </w:pPr>
      <w:r>
        <w:rPr>
          <w:rFonts w:cs="Times New Roman" w:ascii="Times New Roman" w:hAnsi="Times New Roman"/>
          <w:i/>
          <w:iCs/>
          <w:sz w:val="24"/>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i/>
          <w:iCs/>
          <w:sz w:val="24"/>
        </w:rPr>
        <w:t>For Automated Power Exchange,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Jack</w:t>
      </w:r>
      <w:r>
        <w:rPr>
          <w:b/>
          <w:bCs/>
          <w:sz w:val="24"/>
        </w:rPr>
        <w:t xml:space="preserve"> </w:t>
      </w:r>
      <w:r>
        <w:rPr>
          <w:sz w:val="24"/>
        </w:rPr>
        <w:t>Ellis</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Executive Vice President</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Automated Power Exchange, Inc.</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490 Raquel Court</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Los Altos, CA  94022</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(650) 948-0938</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(650) 948-6438 (fax)</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i/>
          <w:iCs/>
          <w:sz w:val="24"/>
        </w:rPr>
        <w:t>For CNG Power Services:</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Gary A. Jeffries, Senior Attorney</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CNG Power Services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One Park Ridge Center</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Post Office Box 15746</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Pittsburgh, PA  15244-0726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(412) 787-4268</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(412) 787-4464 (fax)</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i/>
          <w:i/>
          <w:iCs/>
          <w:sz w:val="24"/>
        </w:rPr>
      </w:pPr>
      <w:r>
        <w:rPr>
          <w:sz w:val="22"/>
          <w:szCs w:val="22"/>
        </w:rPr>
        <w:t>Gary_A._Jeffries@esc.cng.com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i/>
          <w:i/>
          <w:iCs/>
          <w:sz w:val="24"/>
        </w:rPr>
      </w:pPr>
      <w:r>
        <w:rPr>
          <w:i/>
          <w:iCs/>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i/>
          <w:iCs/>
          <w:sz w:val="24"/>
        </w:rPr>
        <w:t>For Coalition for a Competitive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rFonts w:eastAsia="Baskerville Old Face"/>
          <w:sz w:val="24"/>
        </w:rPr>
        <w:t xml:space="preserve">  </w:t>
      </w:r>
      <w:r>
        <w:rPr>
          <w:i/>
          <w:iCs/>
          <w:sz w:val="24"/>
        </w:rPr>
        <w:t>Electric Market: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Jeffrey D. Watkiss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Bracewell &amp; Patterson, L.L.P.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2000 K Street, N.W., Suite 500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Washington, DC  20006-1872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(202) 828-5800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(202) 223-1225 (fax)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dwatkiss@bracepatt.com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i/>
          <w:iCs/>
          <w:sz w:val="24"/>
        </w:rPr>
        <w:t>For Eclipse Energy,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J.Q. Delap, Jr.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Eclipse Energy,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333 N. Sam Houston Parkway East, Suite 610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Houston, TX  77060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(281) 445</w:t>
        <w:noBreakHyphen/>
        <w:t>5800 Ext.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(281) 445</w:t>
        <w:noBreakHyphen/>
        <w:t>7181 (fax)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 xml:space="preserve">circajqd@flash.net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i/>
          <w:iCs/>
          <w:sz w:val="24"/>
        </w:rPr>
        <w:t>For ELCON: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John Anderson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ELCON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1333 H Street, N.W.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West Tower, 8th Floor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 xml:space="preserve">Washington, DC  20005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(202) 682-1390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pPr>
      <w:r>
        <w:rPr>
          <w:sz w:val="24"/>
        </w:rPr>
        <w:t>(202) 289-6370</w:t>
      </w:r>
      <w:r>
        <w:rPr>
          <w:rFonts w:cs="Times New Roman" w:ascii="Times New Roman" w:hAnsi="Times New Roman"/>
          <w:sz w:val="24"/>
        </w:rPr>
        <w:t xml:space="preserve"> (fax)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i/>
          <w:i/>
          <w:iCs/>
          <w:sz w:val="24"/>
        </w:rPr>
      </w:pPr>
      <w:r>
        <w:rPr>
          <w:i/>
          <w:iCs/>
          <w:sz w:val="24"/>
        </w:rPr>
        <w:t>For ELCON:</w:t>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Sara D. Schotland</w:t>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Cleary, Gottlieb, Steen &amp; Hamilton</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2000 Pennsylvania Avenue, N.W.</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Washington, DC  20006</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(202) 974-1500</w:t>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(202) 974-1999 (fax)</w:t>
        <w:tab/>
      </w:r>
      <w:r>
        <w:rPr>
          <w:i/>
          <w:iCs/>
          <w:sz w:val="24"/>
        </w:rPr>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sschotland@cgsh.com</w:t>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i/>
          <w:iCs/>
          <w:sz w:val="24"/>
        </w:rPr>
        <w:t>For Electric Clearinghouse, Inc.</w:t>
      </w:r>
      <w:r>
        <w:rPr>
          <w:sz w:val="24"/>
        </w:rPr>
        <w:t xml:space="preserve"> </w:t>
      </w:r>
      <w:r>
        <w:rPr>
          <w:i/>
          <w:iCs/>
          <w:sz w:val="24"/>
        </w:rPr>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i/>
          <w:iCs/>
          <w:sz w:val="24"/>
        </w:rPr>
        <w:t>For Destec Energy,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Peter G. Esposito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Vice President &amp; Regulatory Counsel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NGC Corporation</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1181 Gothic Corridor</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Crested Butte, CO  81224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(970) 349-2080</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sz w:val="24"/>
        </w:rPr>
        <w:t>(970) 349-2082 (fax)</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pges@ngccorp.com</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i/>
          <w:i/>
          <w:iCs/>
          <w:sz w:val="24"/>
        </w:rPr>
      </w:pPr>
      <w:r>
        <w:rPr>
          <w:i/>
          <w:iCs/>
          <w:sz w:val="24"/>
        </w:rPr>
        <w:t>For Electric Clearinghouse, Inc.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i/>
          <w:iCs/>
          <w:sz w:val="24"/>
        </w:rPr>
        <w:t>For Destec Energy,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Kathryn L. Patton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Director &amp; Regulatory Counsel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t>NGC Corporation</w:t>
      </w:r>
    </w:p>
    <w:p>
      <w:pPr>
        <w:sectPr>
          <w:footnotePr>
            <w:numFmt w:val="decimal"/>
          </w:footnotePr>
          <w:type w:val="continuous"/>
          <w:pgSz w:w="12240" w:h="15840"/>
          <w:pgMar w:left="2880" w:right="2880" w:gutter="0" w:header="1440" w:top="1496" w:footer="475" w:bottom="531"/>
          <w:cols w:num="2" w:space="720" w:equalWidth="true" w:sep="false"/>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1000 Louisiana, Suite 5800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Houston, TX  77002-5050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(713) 507-3761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(713) 507-6834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klpa@ngccorp.com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iCs/>
          <w:sz w:val="24"/>
        </w:rPr>
      </w:pPr>
      <w:r>
        <w:rPr>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i/>
          <w:iCs/>
          <w:sz w:val="24"/>
        </w:rPr>
        <w:t>For Electric Clearinghouse,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Andrew D. Weissman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Kyle E. Chadwick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Morrison &amp; Foerster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2000 Pennsylvania Avenue, N.W.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Suite 5500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Washington, DC 20006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(202) 887-1500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sz w:val="24"/>
        </w:rPr>
        <w:t>(202) 887-0763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i/>
          <w:iCs/>
          <w:sz w:val="24"/>
        </w:rPr>
        <w:t>For Engage Energy US, 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Susan W. Ginsberg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Director, Regulatory Affairs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Engage Energy US, 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2000 M Street, N.W. (Suite 300)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Washington, DC 20036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(202) 331-4665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(202) 331-4617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susan.ginsberg@coastalcorp.com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i/>
          <w:iCs/>
          <w:sz w:val="24"/>
        </w:rPr>
        <w:t>For Engage Energy US, 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Mark Stiers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Vice President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Engage Energy US, 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3000 Town Center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Suite 2800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Southfield, MI 48075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(248) 304-3230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(248) 304-3242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mark.stiers@engageengergy.com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i/>
          <w:iCs/>
          <w:sz w:val="24"/>
        </w:rPr>
        <w:t>For Enron Power Marketing, Inc.:</w:t>
      </w:r>
      <w:r>
        <w:rPr>
          <w:sz w:val="24"/>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Joseph R. Hartsoe</w:t>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Vice President, Federal Regulatory Affairs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Enron Corp.</w:t>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1775 Eye Street, N. W., Suite 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Washington, D.C.  20006-4607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(202) 466-9150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(202) 955-8496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sz w:val="24"/>
        </w:rPr>
        <w:t>dbvaz@intr.net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t>For 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sz w:val="24"/>
        </w:rPr>
        <w:t>Steven J. Kean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sz w:val="24"/>
        </w:rPr>
        <w:t>Sr. Vice President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Government Affairs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sz w:val="24"/>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sz w:val="24"/>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sz w:val="24"/>
        </w:rPr>
        <w:t>Houston, TX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sz w:val="24"/>
        </w:rPr>
        <w:t>(713) 853-1586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sz w:val="24"/>
        </w:rPr>
        <w:t>(713) 646-8160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i/>
          <w:iCs/>
          <w:sz w:val="24"/>
        </w:rPr>
        <w:t>For Koch Energy Trading, Inc.:</w:t>
      </w:r>
      <w:r>
        <w:rPr>
          <w:sz w:val="24"/>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Timothy A. Beverick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Attorney at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Koch Energy Trading,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P.O. Box 2626 (77252-2626)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600 Travis Street (49th Floor)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Houston, TX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(713) 229-5123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(713) 229-5551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iCs/>
          <w:sz w:val="24"/>
        </w:rPr>
      </w:pPr>
      <w:r>
        <w:rPr>
          <w:sz w:val="24"/>
        </w:rPr>
        <w:t>beverict@kochind.com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iCs/>
          <w:sz w:val="24"/>
        </w:rPr>
      </w:pPr>
      <w:r>
        <w:rPr>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i/>
          <w:iCs/>
          <w:sz w:val="24"/>
        </w:rPr>
        <w:t>For Shamrock Energy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Jon M. Gipson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President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Shamrock Energy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610 Marshall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Suite 1015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Shreveport, La  71101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(318) 424</w:t>
        <w:noBreakHyphen/>
        <w:t>3800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(318) 424</w:t>
        <w:noBreakHyphen/>
        <w:t>3801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szCs w:val="22"/>
        </w:rPr>
      </w:pPr>
      <w:r>
        <w:rPr>
          <w:rFonts w:cs="Times New Roman" w:ascii="Times New Roman" w:hAnsi="Times New Roman"/>
          <w:sz w:val="22"/>
          <w:szCs w:val="22"/>
        </w:rPr>
        <w:t>Shamrock@Shamrock</w:t>
        <w:noBreakHyphen/>
        <w:t>energy.com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t>For Sithe Energies,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David L. Schwartz</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Latham &amp; Watkins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1001 Pennsylvania Avenue, NW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Suite 1300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Washington, D. C.  20004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(202) 637-2125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(202) 637-2201 (fax)</w:t>
      </w:r>
    </w:p>
    <w:p>
      <w:pPr>
        <w:sectPr>
          <w:footnotePr>
            <w:numFmt w:val="decimal"/>
          </w:footnotePr>
          <w:type w:val="continuous"/>
          <w:pgSz w:w="12240" w:h="15840"/>
          <w:pgMar w:left="1440" w:right="1440" w:gutter="0" w:header="1440" w:top="1496" w:footer="475" w:bottom="531"/>
          <w:cols w:num="2" w:space="720" w:equalWidth="true" w:sep="false"/>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szCs w:val="22"/>
        </w:rPr>
      </w:pPr>
      <w:r>
        <w:rPr>
          <w:rFonts w:cs="Times New Roman" w:ascii="Times New Roman" w:hAnsi="Times New Roman"/>
          <w:sz w:val="22"/>
          <w:szCs w:val="22"/>
        </w:rPr>
        <w:t>david.schwartz@lw.com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2"/>
          <w:szCs w:val="22"/>
        </w:rPr>
      </w:pPr>
      <w:r>
        <w:rPr>
          <w:rFonts w:cs="Times New Roman" w:ascii="Times New Roman" w:hAnsi="Times New Roman"/>
          <w:i/>
          <w:iCs/>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i/>
          <w:iCs/>
          <w:sz w:val="24"/>
        </w:rPr>
        <w:t>For Sonat Power Marketing L.P.</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Linda Browning</w:t>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Director, Legal &amp; Regulatory Affairs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Sonat Power Marketing L.P.</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1900 Fifth Avenue North</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Birmingham, AL  35203</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(205) 325-3851</w:t>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sz w:val="24"/>
        </w:rPr>
        <w:t>(205) 325-3757 (fax)</w:t>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t>linda_browning@sonat.com</w:t>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t>For Vitol Gas &amp; Electric,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Mitchell D. Carroll, Director of Legal Affairs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Jack Ward, Director of Operations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Vitol Gas &amp; Electric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470 Atlantic Avenue, 10th Floor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Boston, MA 02210-2208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(617) 426-0777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(617) 426-3151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mcarrol@vitolge.com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i/>
          <w:iCs/>
          <w:sz w:val="24"/>
        </w:rPr>
        <w:t>For Williams Energy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David W. Brammer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Regulatory Planning Manager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Williams Energy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One Williams Center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Tulsa, OK  74101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4"/>
        </w:rPr>
        <w:t>(918) 573-5738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2"/>
          <w:szCs w:val="22"/>
        </w:rPr>
      </w:pPr>
      <w:r>
        <w:rPr>
          <w:sz w:val="22"/>
          <w:szCs w:val="22"/>
        </w:rPr>
        <w:t>(918) 594-1717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2"/>
          <w:szCs w:val="22"/>
        </w:rPr>
      </w:pPr>
      <w:r>
        <w:rPr>
          <w:sz w:val="22"/>
          <w:szCs w:val="22"/>
        </w:rPr>
        <w:t>dbrammer@wes.twc.com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szCs w:val="22"/>
        </w:rPr>
      </w:pPr>
      <w:r>
        <w:rPr>
          <w:rFonts w:cs="Times New Roman" w:ascii="Times New Roman" w:hAnsi="Times New Roman"/>
          <w:b/>
          <w:bCs/>
          <w:sz w:val="24"/>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
          <w:i/>
          <w:iCs/>
          <w:sz w:val="24"/>
        </w:rPr>
      </w:pPr>
      <w:r>
        <w:rPr>
          <w:rFonts w:cs="Times New Roman" w:ascii="Times New Roman" w:hAnsi="Times New Roman"/>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1440" w:right="1440" w:gutter="0" w:header="1440" w:top="1496" w:footer="475" w:bottom="531"/>
          <w:cols w:num="2" w:space="720" w:equalWidth="true" w:sep="false"/>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30"/>
          <w:szCs w:val="30"/>
        </w:rPr>
      </w:pPr>
      <w:r>
        <w:rPr>
          <w:rFonts w:cs="Times New Roman" w:ascii="Times New Roman" w:hAnsi="Times New Roman"/>
          <w:b/>
          <w:bCs/>
          <w:sz w:val="30"/>
          <w:szCs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30"/>
          <w:szCs w:val="30"/>
        </w:rPr>
      </w:pPr>
      <w:r>
        <w:rPr>
          <w:b/>
          <w:bCs/>
          <w:sz w:val="30"/>
          <w:szCs w:val="3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30"/>
          <w:szCs w:val="30"/>
        </w:rPr>
        <w:tab/>
        <w:t>APPENDIX A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8"/>
          <w:szCs w:val="28"/>
        </w:rPr>
      </w:pPr>
      <w:r>
        <w:rPr>
          <w:b/>
          <w:bCs/>
          <w:sz w:val="24"/>
        </w:rPr>
        <w:tab/>
      </w:r>
      <w:r>
        <w:rPr>
          <w:b/>
          <w:bCs/>
          <w:sz w:val="28"/>
          <w:szCs w:val="28"/>
        </w:rPr>
        <w:t>AFFILIATED ORGANIZATIONS &amp; COMPANIES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i/>
          <w:i/>
          <w:iCs/>
          <w:sz w:val="24"/>
          <w:szCs w:val="28"/>
        </w:rPr>
      </w:pPr>
      <w:r>
        <w:rPr>
          <w:i/>
          <w:iCs/>
          <w:sz w:val="24"/>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Altra Energy Technologies,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Automated Power Exchange,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CNG Power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Coalition for a Competitive Electric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Destec Energy,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Eclipse Energy,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ELCON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Electric Clearinghouse,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Engage Energy US, 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Koch Energy Trading,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rFonts w:cs="Times New Roman" w:ascii="Times New Roman" w:hAnsi="Times New Roman"/>
          <w:sz w:val="24"/>
        </w:rPr>
        <w:t>Shamrock Energy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Sithe Energies,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Sonat Power Marketing L.P.</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Vitol Gas &amp; Electric,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6"/>
          <w:szCs w:val="26"/>
        </w:rPr>
      </w:pPr>
      <w:r>
        <w:rPr>
          <w:sz w:val="26"/>
          <w:szCs w:val="26"/>
        </w:rPr>
        <w:t>Williams Energy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bCs/>
          <w:sz w:val="26"/>
          <w:szCs w:val="26"/>
        </w:rPr>
      </w:pPr>
      <w:r>
        <w:rPr>
          <w:b/>
          <w:bCs/>
          <w:sz w:val="26"/>
          <w:szCs w:val="26"/>
        </w:rPr>
      </w:r>
    </w:p>
    <w:p>
      <w:pPr>
        <w:sectPr>
          <w:headerReference w:type="default" r:id="rId5"/>
          <w:footerReference w:type="default" r:id="rId6"/>
          <w:footnotePr>
            <w:numFmt w:val="decimal"/>
          </w:footnotePr>
          <w:type w:val="nextPage"/>
          <w:pgSz w:w="12240" w:h="15840"/>
          <w:pgMar w:left="1440" w:right="1440" w:gutter="0" w:header="1440" w:top="1496" w:footer="475" w:bottom="531"/>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b/>
          <w:bCs/>
          <w:sz w:val="24"/>
          <w:szCs w:val="26"/>
        </w:rPr>
      </w:pPr>
      <w:r>
        <w:rPr>
          <w:b/>
          <w:bCs/>
          <w:sz w:val="24"/>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tab/>
      </w:r>
      <w:r>
        <w:rPr>
          <w:b/>
          <w:bCs/>
          <w:sz w:val="30"/>
          <w:szCs w:val="30"/>
        </w:rPr>
        <w:t xml:space="preserve">APPENDIX B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b/>
          <w:bCs/>
          <w:sz w:val="24"/>
        </w:rPr>
      </w:pPr>
      <w:r>
        <w:rPr>
          <w:i/>
          <w:iCs/>
          <w:sz w:val="24"/>
        </w:rPr>
        <w:t>In this appendix, we present a narrative description of the day-to-day operation of the U.S. wholesale electric market as seen from the perspective of a new entrant power seller, dependent on the transmission lines of traditional electric utilities.  We focus on the increasing asymmetry between the risks (and therefore costs) confronting a new entrant and the thin profit margins  available to it. This asymmetry places incumbent, transmission-owning market participants in a superior competitive position -- an unduly discriminatory position that many incumbents would perpetuate under the shibboleths of reliability and native load.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rPr>
      </w:pPr>
      <w:r>
        <w:rPr>
          <w:b/>
          <w:bCs/>
          <w:sz w:val="28"/>
          <w:szCs w:val="28"/>
        </w:rPr>
        <w:t>CURRENT REALITIES OF SELLING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b/>
          <w:bCs/>
          <w:sz w:val="28"/>
          <w:szCs w:val="28"/>
        </w:rPr>
        <w:t>WHEN YOU DON’T OWN THE WIRES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Petitioners represent a diverse group of power market participants:  consumers, marketers, traders, suppliers and producers.  Whether restructuring will actually benefit us depends critically on whether reforms will give new entrant power suppliers access to the market.  Commission Orders No. 888 and No. 889 (the “Open Access Orders”) embody the Commission’s first step toward providing this access.  From the perspective of new entrants, however, the Open Access Orders are falling short of their promise.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Petitioners’ experience under the Open Access Orders makes two points clear.  Just as in the gas industry, an efficient, user-friendly and competitively priced market in bulk electric power will not develop unless and until the Commission operationally unbundles the wires business from the potentially competitive power merchant business.  Second, the Open Access Orders cannot overcome the serious structural and institutional barriers to competition in the wholesale electricity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Transmission-owning utilities still solidly dominate the wholesale market and, with few exceptions, monopolize the retail market.  While many wholesale transactions take place, those involving market participants who do not directly own or control transmission are generally “booked out” before physical delivery.  They don’t go to physical delivery because firm access to transmission capacity isn’t available.  Under the Open Access Orders, transmission providers maintain the incentive to under-report available transmission capability (“ATC”), limiting the ability of others to move power commercially.  They are able to use opportunistic scheduling purportedly on behalf of native load to block transactions by competitors and thereby dominate arbitrage between destination markets, denying new entrants, and potential competitors any chance to compete.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30"/>
          <w:szCs w:val="30"/>
        </w:rPr>
      </w:pPr>
      <w:r>
        <w:rPr>
          <w:b/>
          <w:bCs/>
          <w:sz w:val="30"/>
          <w:szCs w:val="3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30"/>
          <w:szCs w:val="30"/>
        </w:rPr>
      </w:pPr>
      <w:r>
        <w:rPr>
          <w:b/>
          <w:bCs/>
          <w:sz w:val="30"/>
          <w:szCs w:val="30"/>
        </w:rPr>
        <w:tab/>
        <w:t>COMMISSION POLICY GOAL VERSUS MARKET REALITIES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szCs w:val="30"/>
        </w:rPr>
      </w:pPr>
      <w:r>
        <w:rPr>
          <w:sz w:val="24"/>
          <w:szCs w:val="30"/>
        </w:rPr>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1440" w:top="1496" w:footer="475" w:bottom="531"/>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sz w:val="24"/>
        </w:rPr>
      </w:pPr>
      <w:r>
        <w:rPr>
          <w:b/>
          <w:bCs/>
          <w:i/>
          <w:iCs/>
          <w:sz w:val="28"/>
          <w:szCs w:val="28"/>
        </w:rPr>
        <w:t>Open Access Has Not Created a Freely Traded Wholesale Market in Electricity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2160"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start="-1440" w:end="-1440"/>
        <w:jc w:val="both"/>
        <w:rPr>
          <w:sz w:val="24"/>
        </w:rPr>
      </w:pPr>
      <w:r>
        <w:rPr>
          <w:sz w:val="24"/>
        </w:rPr>
        <w:t xml:space="preserve">We are in the power market 24 hours per day.  From this experience, we can report to the Commission three widespread market failings: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r>
    </w:p>
    <w:p>
      <w:pPr>
        <w:pStyle w:val="Style14"/>
        <w:widowControl/>
        <w:numPr>
          <w:ilvl w:val="8"/>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720" w:end="-1440"/>
        <w:jc w:val="both"/>
        <w:rPr>
          <w:sz w:val="24"/>
        </w:rPr>
      </w:pPr>
      <w:r>
        <w:rPr>
          <w:sz w:val="24"/>
        </w:rPr>
        <w:t>Buyers and sellers of electricity persistently find themselves unable to consummate transactions for which transmission capability is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r>
    </w:p>
    <w:p>
      <w:pPr>
        <w:pStyle w:val="Style14"/>
        <w:widowControl/>
        <w:numPr>
          <w:ilvl w:val="8"/>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720" w:end="-1440"/>
        <w:jc w:val="both"/>
        <w:rPr>
          <w:sz w:val="24"/>
        </w:rPr>
      </w:pPr>
      <w:r>
        <w:rPr>
          <w:sz w:val="24"/>
        </w:rPr>
        <w:t>Transmission owners use their common ownership of generation and transmission facilities routinely to capture nearly all arbitrage opportunities.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r>
    </w:p>
    <w:p>
      <w:pPr>
        <w:pStyle w:val="Style14"/>
        <w:widowControl/>
        <w:numPr>
          <w:ilvl w:val="8"/>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720" w:end="-1440"/>
        <w:jc w:val="both"/>
        <w:rPr>
          <w:sz w:val="24"/>
        </w:rPr>
      </w:pPr>
      <w:r>
        <w:rPr>
          <w:sz w:val="24"/>
        </w:rPr>
        <w:t xml:space="preserve">Transmission-owning utilities are withholding large quantities of transfer capability under the shield of native load, preventing third-party access.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jc w:val="both"/>
        <w:rPr>
          <w:sz w:val="24"/>
        </w:rPr>
      </w:pPr>
      <w:r>
        <w:rPr>
          <w:sz w:val="24"/>
        </w:rPr>
        <w:t>Why do these failings persist?  First, many transmission owners are not surprisingly using their ownership of the wires to project their power market monopolies as far as possible into the future.  Transmission personnel continue to be allowed to purchase power on behalf of retail load.  These employees remain in positions where they can cause transmission capacity to be “needed by native load” and not available to competitors. Moreover, since every third-party transaction over a transmission-owning utility’s wires means more potential competition in power sales, transmission owners have an incentive to limit rather than maximize the wires’ capacity available to third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jc w:val="both"/>
        <w:rPr/>
      </w:pPr>
      <w:r>
        <w:rPr>
          <w:sz w:val="24"/>
        </w:rPr>
        <w:t xml:space="preserve">The perverse incentives are exacerbated by information deficits that prevent transmission customers or the Commission from catching utilities at the game of </w:t>
      </w:r>
      <w:r>
        <w:rPr>
          <w:i/>
          <w:iCs/>
          <w:sz w:val="24"/>
        </w:rPr>
        <w:t>minimizing</w:t>
      </w:r>
      <w:r>
        <w:rPr>
          <w:sz w:val="24"/>
        </w:rPr>
        <w:t xml:space="preserve"> ATC.  Information is scarce for at least three reasons:  (1) broad swaths of reservation and scheduling are allowed to take place off-OASIS; (2) transactions that appear on OASIS are not timely or accurately posted; and (3) auditing and enforcing the accuracy of ATC postings after the fact is difficult and of no prophylactic or remedial value to new entrants.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jc w:val="both"/>
        <w:rPr>
          <w:sz w:val="24"/>
        </w:rPr>
      </w:pPr>
      <w:r>
        <w:rPr>
          <w:sz w:val="24"/>
        </w:rPr>
        <w:t>These obstacles to competition are made worse by the absence of a meaningful open-access enforcement program. New entrants have had access only to the cumbersome and seldom timely complaint process for redressing anticompetitive abuses of OASIS and the Open Access Orders. This approach cannot work.  Transmission customers cannot complain about violations they cannot see; the risk that subtle forms of discrimination will be detected is inconsequential for transmission owners. Further, complaint-based remedies are always too little, too late: The transaction is lost by the time a phone call to the Commission’s Enforcement Task Force can be made.  Finally, our complaints invite retaliation and further discrimination.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720"/>
        <w:jc w:val="both"/>
        <w:rPr>
          <w:sz w:val="24"/>
        </w:rPr>
      </w:pPr>
      <w:r>
        <w:rPr>
          <w:b/>
          <w:bCs/>
          <w:i/>
          <w:iCs/>
          <w:sz w:val="28"/>
          <w:szCs w:val="28"/>
        </w:rPr>
        <w:t>Firm and Nonfirm Transmission Capacity Is Being Kept Off the Market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jc w:val="both"/>
        <w:rPr>
          <w:sz w:val="24"/>
        </w:rPr>
      </w:pPr>
      <w:r>
        <w:rPr>
          <w:sz w:val="24"/>
        </w:rPr>
        <w:t xml:space="preserve">Far more transmission capability is physically available than is being posted or released for sale.  The discrepancy is difficult to quantify; yet, in many instances, the gap is large. </w:t>
      </w:r>
    </w:p>
    <w:p>
      <w:pPr>
        <w:sectPr>
          <w:footnotePr>
            <w:numFmt w:val="decimal"/>
          </w:footnotePr>
          <w:type w:val="continuous"/>
          <w:pgSz w:w="12240" w:h="15840"/>
          <w:pgMar w:left="2880" w:right="288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b/>
          <w:bCs/>
          <w:i/>
          <w:i/>
          <w:iCs/>
          <w:sz w:val="24"/>
        </w:rPr>
      </w:pPr>
      <w:r>
        <w:rPr>
          <w:b/>
          <w:bCs/>
          <w:i/>
          <w:iCs/>
          <w:sz w:val="24"/>
        </w:rPr>
        <w:t>1.</w:t>
        <w:tab/>
        <w:t>Unreasonably conservative base calculations of ATC and TTC.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Transfer capability is being substantially underestimated.  Pervasive under-reporting of ATC is evidenced by the fact that many neighboring utilities maintain persistent and large inconsistencies in reported ATC over the same interfaces in the same directions.</w:t>
      </w:r>
      <w:r>
        <w:rPr>
          <w:rStyle w:val="FootnoteCharacters"/>
          <w:rStyle w:val="FootnoteReference"/>
          <w:sz w:val="24"/>
          <w:vertAlign w:val="superscript"/>
        </w:rPr>
        <w:footnoteReference w:customMarkFollows="1" w:id="50"/>
        <w:t>1</w:t>
      </w: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Under today’s Open Access Rules, transmission owners enjoy unchecked discretion to define the capabilities of their networks.  Neither the industry nor the Commission has generally accepted methods for deriving a transmission reliability margin (TRM), which a utility may reasonably subtract from TTC to arrive at ATC.  Nor are there accepted engineering standards for determining the loading capacity of an interface that is needed to maintain system reliability.  Neither this Commission nor any other independent entity audits, correlates or double-checks utilities’ total or available transfer capability estimates either before or after the fact.  Customers cannot perform this task since the underlying data are not available on OASIS.</w:t>
      </w:r>
      <w:r>
        <w:rPr>
          <w:rStyle w:val="FootnoteCharacters"/>
          <w:rStyle w:val="FootnoteReference"/>
          <w:sz w:val="24"/>
          <w:vertAlign w:val="superscript"/>
        </w:rPr>
        <w:footnoteReference w:customMarkFollows="1" w:id="51"/>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 xml:space="preserve">As retail unbundling occurs and formerly captive customers are up for grabs, incumbent utilities will face increasing competitive pressures to favor their own or affiliated companies.  One way for a vertically integrated utility to game the current open-access structure is simply to take local generation capacity offline and replace it with imports on behalf of native load.  This strategy causes extra congestion on the interfaces over which the utility imports power, which further restricts the ability of competing wholesale (and retail) suppliers to wheel into or through the system.  Meanwhile, the transmission owner continues to enjoy primary scheduling priority on these constrained interfaces when it schedules on behalf of captive load.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Another, more straightforward method of intentionally depressing ATC estimates is for a utility to arrange its calculations so that it withholds a greater capacity benefit margin (“CBM”) or TRM than its maximum, good faith estimate of its needs.  Transmission owners have every incentive to set aside more interface capacity for native load customers than they need, in order to maximize their own flexibility and minimize the use of their systems by third parties.  Further, since capacity that a transmission owner reserves for “native load” is off OASIS, there is no effective check on reserving more than will actually be required.  Finally, even though transmission owners are theoretically prohibited from using capacity reserved for native load to make off-system sales, there is no realistic chance of detecting such violations under today’s system of enforcement.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We routinely see utilities reserve interface ATC to import power for native load and then turn around and export an equal amount of power, at a higher price, to buyers on another side of their systems.  For scheduling purposes, this power typically is “tagged” as coming from units located inside the exporting utility’s service territory and exported over point-to-point transmission service.  In reality, of course, a net power transfer is occurring across the transmission provider’s system from a low-cost market to a higher-cost one.  The transmission owner thus exploits capacity reserved for native load to deny a competitor an arbitrage and to sell above market to buyers blocked from purchasing elsewhere.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4"/>
        </w:rPr>
      </w:pPr>
      <w:r>
        <w:rPr>
          <w:b/>
          <w:bCs/>
          <w:i/>
          <w:iCs/>
          <w:sz w:val="24"/>
        </w:rPr>
        <w:t>2.</w:t>
        <w:tab/>
        <w:t>Systematic failure to post timely information on OASIS.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Equal access to accurate, real-time information on transmission capability is a cornerstone of the Commission’s plan to ensure comparable service.  The Petitioners are unaware of a </w:t>
      </w:r>
      <w:r>
        <w:rPr>
          <w:i/>
          <w:iCs/>
          <w:sz w:val="24"/>
        </w:rPr>
        <w:t>single</w:t>
      </w:r>
      <w:r>
        <w:rPr>
          <w:sz w:val="24"/>
        </w:rPr>
        <w:t xml:space="preserve"> OASIS node that fully complies with the requirement to post the availability of hourly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 xml:space="preserve">Some operators make their initial ATC determination on a daily basis (and update it only sporadically); others post a single presumptive ATC value for a month or longer.  A utility that calculates its initial ATC value based on a daily average will significantly understate availability for some hours of each day while overstating for others.  A utility that posts a single value for a month or season (which typically is derived from a worst case scenario for peak load during the period) invariably under reports availability for </w:t>
      </w:r>
      <w:r>
        <w:rPr>
          <w:i/>
          <w:iCs/>
          <w:sz w:val="24"/>
        </w:rPr>
        <w:t>all but the peak hour</w:t>
      </w:r>
      <w:r>
        <w:rPr>
          <w:sz w:val="24"/>
        </w:rPr>
        <w:t>.</w:t>
      </w:r>
      <w:r>
        <w:rPr>
          <w:rStyle w:val="FootnoteCharacters"/>
          <w:rStyle w:val="FootnoteReference"/>
          <w:sz w:val="24"/>
          <w:vertAlign w:val="superscript"/>
        </w:rPr>
        <w:footnoteReference w:customMarkFollows="1" w:id="52"/>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It is our experience that OASIS node compliance has </w:t>
      </w:r>
      <w:r>
        <w:rPr>
          <w:i/>
          <w:iCs/>
          <w:sz w:val="24"/>
        </w:rPr>
        <w:t>deteriorated</w:t>
      </w:r>
      <w:r>
        <w:rPr>
          <w:sz w:val="24"/>
        </w:rPr>
        <w:t xml:space="preserve"> in recent months. (Transmission owners appear to have concluded that the Commission is not serious about enforcing the rules.)  Increasingly, we find ourselves arranging transactions in reliance on posted ATC values only to have transmission personnel tell us later, when we try to reserve the posted ATC, that it is actually not available either because it never was available in the first place, or because it had been diverted to native load without disclosure on OASIS.  Many of us have invested substantial time and effort into arranging a transaction, and sometimes have signed contracts before discovering that we could not perform for want of transmission.  Our only alternative is to buy transmission rights well in advance and run the risk that the underlying transaction does not occur.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sz w:val="24"/>
        </w:rPr>
      </w:pPr>
      <w:r>
        <w:rPr>
          <w:b/>
          <w:bCs/>
          <w:i/>
          <w:iCs/>
          <w:sz w:val="24"/>
        </w:rPr>
        <w:t>3.</w:t>
        <w:tab/>
        <w:t>“Flooding” valuable contract paths with nonfirm service for native load.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Transmission owners are crowding out competitors by strategically reserving nonfirm network and point-to-point service.  In the typical scheme, a utility will tie-up a key interface on its border by reserving nonfirm network service to purchase power from a contiguous low-cost supply area.  The utility thereby blocks other purchasers from accessing the low-cost supply.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As noted earlier, the same utility often will then export power from its own resources to buyers on another side of its system, scheduling point-to-point service from its own generating units.  The effect is to capture for the benefit of the transmission-owning utility of an arbitrage transaction made possible solely by gaming the native load preferences.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bCs/>
          <w:sz w:val="24"/>
        </w:rPr>
      </w:pPr>
      <w:r>
        <w:rPr>
          <w:b/>
          <w:bCs/>
          <w:i/>
          <w:iCs/>
          <w:sz w:val="28"/>
          <w:szCs w:val="28"/>
        </w:rPr>
        <w:t xml:space="preserve">Posted Transmission Capability Is Unreliable, Difficult to Access, and Insufficiently Liquid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4"/>
        </w:rPr>
      </w:pPr>
      <w:r>
        <w:rPr>
          <w:b/>
          <w:bCs/>
          <w:i/>
          <w:iCs/>
          <w:sz w:val="24"/>
        </w:rPr>
        <w:t>1.</w:t>
        <w:tab/>
        <w:t>The unreliability of ATC adds to transaction costs.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 xml:space="preserve">The Commission recognized in Order No. 889-A that “[t]he OASIS and the Commission’s functional unbundling policy depend on customers being able to rely upon the accuracy of ATC postings.”  III FERC Stats. &amp; Regs. at 30,565.  Our experience to date prevents us from relying on the accuracy of ATC postines.  OASIS node operators have made computer-aided OASIS searching impossible by disregarding the mandated computer-to-computer protocols and by listing quirky, nonstandard types of service in violation of the </w:t>
      </w:r>
      <w:r>
        <w:rPr>
          <w:i/>
          <w:iCs/>
          <w:sz w:val="24"/>
        </w:rPr>
        <w:t>pro forma</w:t>
      </w:r>
      <w:r>
        <w:rPr>
          <w:sz w:val="24"/>
        </w:rPr>
        <w:t xml:space="preserve"> tariff.</w:t>
      </w:r>
      <w:r>
        <w:rPr>
          <w:rStyle w:val="FootnoteCharacters"/>
          <w:rStyle w:val="FootnoteReference"/>
          <w:sz w:val="24"/>
          <w:vertAlign w:val="superscript"/>
        </w:rPr>
        <w:footnoteReference w:customMarkFollows="1" w:id="53"/>
        <w:t>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As a practical matter, the dearth of accurate and accessible information has a crippling effect on the ability to complete transactions.  Recent analyses show that electric power is the </w:t>
      </w:r>
      <w:r>
        <w:rPr>
          <w:i/>
          <w:iCs/>
          <w:sz w:val="24"/>
        </w:rPr>
        <w:t>single most volatile</w:t>
      </w:r>
      <w:r>
        <w:rPr>
          <w:sz w:val="24"/>
        </w:rPr>
        <w:t xml:space="preserve"> commodity traded in interstate commerce.</w:t>
      </w:r>
      <w:r>
        <w:rPr>
          <w:rStyle w:val="FootnoteCharacters"/>
          <w:rStyle w:val="FootnoteReference"/>
          <w:sz w:val="24"/>
          <w:vertAlign w:val="superscript"/>
        </w:rPr>
        <w:footnoteReference w:customMarkFollows="1" w:id="54"/>
        <w:t>5</w:t>
      </w:r>
      <w:r>
        <w:rPr>
          <w:sz w:val="24"/>
        </w:rPr>
        <w:t xml:space="preserve">  Success in trading in such a market requires quick action, particularly for short-term transactions.  When posted information is unreliable, fast action is impossible.  Because profit margins are thin, competitive sellers avoid selling into or through parts of the country where posted ATC is unreliable. Alternatively, we are forced to arrange transmission through more circuitous or expensive routes to avoid a problem area, increasing transaction costs, driving margins down further.  Potentially efficient trades are not made and consumers are injured.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b/>
          <w:bCs/>
          <w:i/>
          <w:i/>
          <w:iCs/>
          <w:sz w:val="24"/>
        </w:rPr>
      </w:pPr>
      <w:r>
        <w:rPr>
          <w:b/>
          <w:bCs/>
          <w:i/>
          <w:iCs/>
          <w:sz w:val="24"/>
        </w:rPr>
        <w:t>2.</w:t>
        <w:tab/>
        <w:t>Opportunistic scheduling for native load by transmission personnel with unavoidable conflicts of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
          <w:i/>
          <w:iCs/>
          <w:sz w:val="24"/>
        </w:rPr>
      </w:pPr>
      <w:r>
        <w:rPr>
          <w:b/>
          <w:bCs/>
          <w:i/>
          <w:iCs/>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 xml:space="preserve">Posted ATC too often turns out to be unavailable to customers for reasons allegedly related to native load scheduling, but which are actually attributable to a transmission owner’s interest in thwarting a competitor’s transaction in order to preserve sales for its wholesale generation affiliate. The continued integration of transmission and power generation and purchasing for retail load makes this possible.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Transmission customers have every reason to suspect that strategic scheduling decisions by transmission personnel to favor their affiliated generation functions -- or simply a passive resistance to redispatching to facilitate third-party transactions -- distort competition and market forces on a regular basis.  In virtually every transaction, prudent buyers and new entrant sellers must factor into their prices the risk that a transmission owner will adjust its scheduling to block their transaction.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4"/>
        </w:rPr>
      </w:pPr>
      <w:r>
        <w:rPr>
          <w:b/>
          <w:bCs/>
          <w:i/>
          <w:iCs/>
          <w:sz w:val="24"/>
        </w:rPr>
        <w:t>3.</w:t>
        <w:tab/>
        <w:t>No Service Is Really Firm for New Entrants under NERC’s Security Coordinator Scheme.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 xml:space="preserve">The Open Access Orders anticipate an orderly, transparent market for transmission in which providers serve all comers in a priority scheme approved by the Commission.  Purchasers of firm service are to be entitled to their contractual transmission rights absent an “electrical emergency”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or “other unforeseen condition” that threatens the “reliable operation” of the system over which firm service was reserved.  This assurance of firmness is critical.  If a marketer commits to deliver power to a wholesale customer on a firm basis and cannot deliver because the transmission is curtailed, the marketer is generally subject to contractual damages or penalties.  These penalties can rapidly erode the thin profit margins of competitive power sellers.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The order and transparency contemplated by the Open Access Orders is increasingly defeated and made chaotic by the recent introduction of Security Coordinators that administer NERC operating policies for tagging and curtailing “firm” transactions pursuant to line loading relief protocols never filed with or approved by the Commission.  These Security Coordinators target the  transactions of new entrants -- and not native load service -- for curtailment when the transmission provider has overbooked its capacity.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4"/>
        </w:rPr>
      </w:pPr>
      <w:r>
        <w:rPr>
          <w:b/>
          <w:bCs/>
          <w:i/>
          <w:iCs/>
          <w:sz w:val="24"/>
        </w:rPr>
        <w:t>4.</w:t>
        <w:tab/>
        <w:t>Unreasonable rules and practices for scheduling and reserving firm service pile on transaction costs.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The most serious drawback of </w:t>
      </w:r>
      <w:r>
        <w:rPr>
          <w:i/>
          <w:iCs/>
          <w:sz w:val="24"/>
        </w:rPr>
        <w:t>firm</w:t>
      </w:r>
      <w:r>
        <w:rPr>
          <w:sz w:val="24"/>
        </w:rPr>
        <w:t xml:space="preserve"> service is the Commission’s present treatment of long-term firm service over secondary receipt and delivery points.  Secondary-point long-term service is demoted to the lowest priority of nonfirm for both scheduling and curtailment purposes.  Such a harsh penalty for a change in a long-term reservation unnecessarily denies flexibility to new entrants (power marketers and other market participants not eligible to use network service).  At the same time, this secondary-point policy imposes unnecessary reservation and scheduling transaction costs on new entrants.  In order to retain a level of security equal to other nonfirm uses, the new entrants are forced to reserve new service for each secondary path, incurring an extra set of reservation and/or scheduling costs for what is really no different from an economy purchase that a network customer (or transmission owner) can make at no extra cost.  This defies the concept of service comparability. The Commission’s concern that point-to-point service over secondary interfaces should not have a </w:t>
      </w:r>
      <w:r>
        <w:rPr>
          <w:i/>
          <w:iCs/>
          <w:sz w:val="24"/>
        </w:rPr>
        <w:t>higher</w:t>
      </w:r>
      <w:r>
        <w:rPr>
          <w:sz w:val="24"/>
        </w:rPr>
        <w:t xml:space="preserve"> reservation or scheduling priority than economy purchases for network load is sensible.  The appropriate solution, however, is to place secondary-point firm service on an </w:t>
      </w:r>
      <w:r>
        <w:rPr>
          <w:i/>
          <w:iCs/>
          <w:sz w:val="24"/>
        </w:rPr>
        <w:t>equal</w:t>
      </w:r>
      <w:r>
        <w:rPr>
          <w:sz w:val="24"/>
        </w:rPr>
        <w:t xml:space="preserve"> footing.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Firm point-to-point service, as it is presently defined, is further flawed in that customers often see the transmission rights that they purchase sold out from under them, or used by the transmission provider.  This is because firm customers that fail to schedule transmission by mid-morning are not given recall rights.  Consequently, they are unable to utilize their rights later in the day on short notice, even though they bought a firm reservation, subject to scheduling fees.  New entrants cannot compete effectively with the transmission owning utilities unless they can purchase truly firm transmission reservations, and can rely on </w:t>
      </w:r>
      <w:r>
        <w:rPr>
          <w:i/>
          <w:iCs/>
          <w:sz w:val="24"/>
        </w:rPr>
        <w:t>owning</w:t>
      </w:r>
      <w:r>
        <w:rPr>
          <w:sz w:val="24"/>
        </w:rPr>
        <w:t xml:space="preserve"> firm rights, subject only to physical constraints.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4"/>
        </w:rPr>
      </w:pPr>
      <w:r>
        <w:rPr>
          <w:b/>
          <w:bCs/>
          <w:i/>
          <w:iCs/>
          <w:sz w:val="24"/>
        </w:rPr>
        <w:t>5.</w:t>
        <w:tab/>
        <w:t>Day-ahead nonfirm service is needlessly cumbersome.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New entrants incur needless transaction costs because of the nonsensical two-step purchasing process involving both a reservation and a schedule for day-ahead nonfirm service.  This procedure is costly and cumbersome, especially when compared to the single-step process for buying interruptible natural gas transportation service.  Day-ahead nonfirm service can and should be sold on the same, single-step basis as interruptible natural gas transportation, so that scheduling, reservation and charging for service all occur at the same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Further, the rule that nonfirm service can be “bid up” until literally the last minute means that transmission customers attempting to finalize power transactions can never obtain a degree of security in nonfirm transmission.  Together with limitations on how long in advance nonfirm service can be reserved, the uncertainty introduced by the “bid up” rule makes it very difficult for repeat transmission customers to create efficient portfolios of transmission rights over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In addition, transmission customers should not be required to pay for nonfirm (or firm) service that is curtailed by any control area.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4"/>
        </w:rPr>
      </w:pPr>
      <w:r>
        <w:rPr>
          <w:b/>
          <w:bCs/>
          <w:i/>
          <w:iCs/>
          <w:sz w:val="24"/>
        </w:rPr>
        <w:t>6.</w:t>
        <w:tab/>
        <w:t>The chaos of scheduling across systems.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To promote the broadest possible destination markets, transmission-scheduling deadlines should be standardized across all systems.  This is not the case today.  Both firm and nonfirm transmission markets alike suffer from a crazy quilt of scheduling deadlines, mismatched between regions, with deadlines that are incompatible with deadlines in economy energy markets.   Moreover, at present, a transmission-owning utility can drag out its response to an urgent request for short-term service to the point that the requester loses the purchase or sale opportunity.  In order to compete effectively in the highly volatile short-term energy markets, new entrants need a response within a definite, commercially reasonable time period to </w:t>
      </w:r>
      <w:r>
        <w:rPr>
          <w:i/>
          <w:iCs/>
          <w:sz w:val="24"/>
        </w:rPr>
        <w:t>all</w:t>
      </w:r>
      <w:r>
        <w:rPr>
          <w:sz w:val="24"/>
        </w:rPr>
        <w:t xml:space="preserve"> applications for short-term service, both firm and nonfirm.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4"/>
        </w:rPr>
      </w:pPr>
      <w:r>
        <w:rPr>
          <w:b/>
          <w:bCs/>
          <w:i/>
          <w:iCs/>
          <w:sz w:val="24"/>
        </w:rPr>
        <w:t>7.</w:t>
        <w:tab/>
        <w:t>Summary:  At the end of the trading day</w:t>
      </w:r>
      <w:r>
        <w:rPr>
          <w:i/>
          <w:iCs/>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bCs/>
          <w:sz w:val="24"/>
        </w:rPr>
      </w:pPr>
      <w:r>
        <w:rPr>
          <w:sz w:val="24"/>
        </w:rPr>
        <w:t xml:space="preserve">At the end of the trading day, a new entrant is faced with a significantly different picture of the market from that of the transmission-owning utility trader.  The new entrant sees ATC being wrongly posted, difficult to access and use, and subject to an unquantifiable risk of market manipulation.  Good transactions that should be accommodated fall by the wayside because these transactions are substantially more risky to the non-utility than they are to transmisison-owning utilities.  Risk and uncertainty raise the overall price of supply, which in turn results in fewer total sales at the margin.  Barriers to the cost-effective purchase, use and transfer of transmission rights are blocking the development of efficient power markets by seriously reducing the volume of sales that can go to physical delivery.  If the goal is to promote competition through market entry, then these transactional barriers of bad information, cumbersome reservation and scheduling rules and high transaction costs must first be removed </w:t>
      </w:r>
      <w:r>
        <w:rPr>
          <w:i/>
          <w:iCs/>
          <w:sz w:val="24"/>
        </w:rPr>
        <w:t>soon.</w:t>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tab/>
      </w:r>
      <w:r>
        <w:rPr>
          <w:b/>
          <w:bCs/>
          <w:sz w:val="30"/>
          <w:szCs w:val="30"/>
        </w:rPr>
        <w:t>APPENDIX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24"/>
        </w:rPr>
        <w:tab/>
      </w:r>
      <w:r>
        <w:rPr>
          <w:b/>
          <w:bCs/>
          <w:sz w:val="26"/>
          <w:szCs w:val="26"/>
        </w:rPr>
        <w:t>INTERIM REPORT OF THE SECRETARY OF</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6"/>
          <w:szCs w:val="26"/>
        </w:rPr>
      </w:pPr>
      <w:r>
        <w:rPr>
          <w:b/>
          <w:bCs/>
          <w:sz w:val="26"/>
          <w:szCs w:val="26"/>
        </w:rPr>
        <w:tab/>
        <w:t>ENERGY ADVISORY BOARD, TASK FORCE ON</w:t>
      </w:r>
    </w:p>
    <w:p>
      <w:pPr>
        <w:sectPr>
          <w:headerReference w:type="default" r:id="rId11"/>
          <w:footerReference w:type="default" r:id="rId12"/>
          <w:footnotePr>
            <w:numFmt w:val="decimal"/>
          </w:footnotePr>
          <w:type w:val="nextPage"/>
          <w:pgSz w:w="12240" w:h="15840"/>
          <w:pgMar w:left="1440" w:right="1440" w:gutter="0" w:header="1440" w:top="1496" w:footer="475" w:bottom="531"/>
          <w:pgNumType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6"/>
          <w:szCs w:val="26"/>
        </w:rPr>
        <w:tab/>
        <w:t>ELECTRIC SYSTEM RELIABILITY</w:t>
      </w:r>
    </w:p>
    <w:p>
      <w:pPr>
        <w:pStyle w:val="Normal"/>
        <w:widowControl/>
        <w:tabs>
          <w:tab w:val="clear" w:pos="720"/>
          <w:tab w:val="right" w:pos="9360" w:leader="none"/>
        </w:tabs>
        <w:jc w:val="both"/>
        <w:rPr>
          <w:sz w:val="24"/>
        </w:rPr>
      </w:pPr>
      <w:r>
        <w:rPr>
          <w:sz w:val="24"/>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r>
      <w:r>
        <w:rPr>
          <w:b/>
          <w:bCs/>
          <w:sz w:val="30"/>
          <w:szCs w:val="30"/>
        </w:rPr>
        <w:t>APPENDIX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tab/>
        <w:t>EXAMPLES OF COMMON ONGOING FORMS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8"/>
          <w:szCs w:val="28"/>
        </w:rPr>
      </w:pPr>
      <w:r>
        <w:rPr>
          <w:b/>
          <w:bCs/>
          <w:sz w:val="30"/>
          <w:szCs w:val="30"/>
        </w:rPr>
        <w:tab/>
        <w:t>OF TRANSMISSION PROVIDER DISCRIMINATION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30"/>
          <w:szCs w:val="30"/>
        </w:rPr>
      </w:pPr>
      <w:r>
        <w:rPr>
          <w:b/>
          <w:bCs/>
          <w:sz w:val="30"/>
          <w:szCs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sz w:val="24"/>
        </w:rPr>
      </w:pPr>
      <w:r>
        <w:rPr>
          <w:b/>
          <w:bCs/>
          <w:i/>
          <w:iCs/>
          <w:sz w:val="30"/>
          <w:szCs w:val="30"/>
        </w:rPr>
        <w:t>A.</w:t>
        <w:tab/>
        <w:t>Undue Discrimination Masquerading as Service to Native Load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bCs/>
          <w:i/>
          <w:iCs/>
          <w:sz w:val="24"/>
        </w:rPr>
        <w:t>1.</w:t>
        <w:tab/>
        <w:t xml:space="preserve">Parking Native Load Imports to Obtain a Free Wheel. </w:t>
      </w:r>
      <w:r>
        <w:rPr>
          <w:sz w:val="24"/>
        </w:rPr>
        <w:t xml:space="preserve"> A transmission provider can purchase energy for peak service (16 hour schedule) to native load, schedule the import of that energy </w:t>
      </w:r>
      <w:r>
        <w:rPr>
          <w:i/>
          <w:iCs/>
          <w:sz w:val="24"/>
        </w:rPr>
        <w:t xml:space="preserve">day ahead </w:t>
      </w:r>
      <w:r>
        <w:rPr>
          <w:sz w:val="24"/>
        </w:rPr>
        <w:t xml:space="preserve">and designate itself as the sink for the transaction.  As it is ostensibly purchasing for native load, it pays no separate transmission charge to import this energy into its service territory.  In the next day </w:t>
      </w:r>
      <w:r>
        <w:rPr>
          <w:i/>
          <w:iCs/>
          <w:sz w:val="24"/>
        </w:rPr>
        <w:t>hourly</w:t>
      </w:r>
      <w:r>
        <w:rPr>
          <w:sz w:val="24"/>
        </w:rPr>
        <w:t xml:space="preserve"> market, however, the transmission provider or its marketing affiliate sells its “non-peak energy” to a neighboring control area and will pay only a transmission charge for exporting (but not for importing) this energy.  Compare this with the situation of any other purchaser.  Any other purchaser would not be able to import power scheduled day ahead, without charge, “park” that power, then decide to wheel the energy out the next day in the hourly market.  Because not purchasing for native load, any other purchaser would pay transmission on both wheels, into and out of the initial transmission provider’s system.  During off-peak periods when a transmission provider is selling at wholesale power that it has obtained for a free wheel, its wholesale competitors are severely and unfairly disadvantaged. So long as native load schedules are not posted on OASIS, the practice of reselling in hourly markets power purchased for native load and then parked is difficult to detect and monitor.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Another example, which we find is much more common, is just the opposite of this.  The utility reserves point-to-point out in the day-ahead market designating its “system” as the source.  If forced to tag, it just designates one of its generators.  The utility imports economy power in the hourly market at the native load priority to balance the sale.  This is in effect a loan of power.  And because this is for native load, the utility doesn’t have to abide by the scheduling deadlines in doing this.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1440" w:top="1496" w:footer="475" w:bottom="531"/>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1440" w:end="-1440"/>
        <w:jc w:val="both"/>
        <w:rPr>
          <w:rFonts w:ascii="Times New Roman" w:hAnsi="Times New Roman" w:cs="Times New Roman"/>
          <w:b/>
          <w:bCs/>
          <w:sz w:val="24"/>
        </w:rPr>
      </w:pPr>
      <w:r>
        <w:rPr>
          <w:b/>
          <w:bCs/>
          <w:i/>
          <w:iCs/>
          <w:sz w:val="24"/>
        </w:rPr>
        <w:t>2.</w:t>
        <w:tab/>
        <w:t xml:space="preserve">Magnifying the Risks of Point-to-Point Service Relied on by Transmission Dependent Competitors.  </w:t>
      </w:r>
      <w:r>
        <w:rPr>
          <w:sz w:val="24"/>
        </w:rPr>
        <w:t xml:space="preserve">In </w:t>
      </w:r>
      <w:r>
        <w:rPr>
          <w:i/>
          <w:iCs/>
          <w:sz w:val="24"/>
        </w:rPr>
        <w:t xml:space="preserve">Madison Gas &amp; Electric Co., </w:t>
      </w:r>
      <w:r>
        <w:rPr>
          <w:sz w:val="24"/>
        </w:rPr>
        <w:t xml:space="preserve">Docket No. EL97-41-000, a Wisconsin transmission provider bumped Madison’s conditional reservation for short-term point-to-point service from an off-system generation source by designating a new network resource for native load service identified as “long-term” over the same path.  “Long-term” in this instance turned out to be a mere three months, just one month more than Madison's own reservation.  Although the Commission ruled that the new network resource enjoyed a priority under the </w:t>
      </w:r>
      <w:r>
        <w:rPr>
          <w:i/>
          <w:iCs/>
          <w:sz w:val="24"/>
        </w:rPr>
        <w:t>pro forma</w:t>
      </w:r>
      <w:r>
        <w:rPr>
          <w:sz w:val="24"/>
        </w:rPr>
        <w:t xml:space="preserve"> tariff, this scenario demonstrates the ease with which a transmission provider can strategically manipulate network resources being used to serve native load in order to interrupt the transactions of a wholesale competitor selling into its service territory.  To make matters more difficult, the transmission provider failed to provide timely notice to Madison that it had bumped Madison's reservation and took about a week to post information on OASIS showing the decrease that its own network reservation caused in available transmission capability (“ATC”).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rFonts w:ascii="Times New Roman" w:hAnsi="Times New Roman" w:cs="Times New Roman"/>
          <w:b/>
          <w:bCs/>
          <w:sz w:val="24"/>
        </w:rPr>
      </w:pPr>
      <w:r>
        <w:rPr>
          <w:rFonts w:cs="Times New Roman" w:ascii="Times New Roman" w:hAnsi="Times New Roman"/>
          <w:b/>
          <w:bCs/>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1440" w:end="-1440"/>
        <w:jc w:val="both"/>
        <w:rPr>
          <w:rFonts w:ascii="Times New Roman" w:hAnsi="Times New Roman" w:cs="Times New Roman"/>
          <w:sz w:val="24"/>
        </w:rPr>
      </w:pPr>
      <w:r>
        <w:rPr>
          <w:b/>
          <w:bCs/>
          <w:i/>
          <w:iCs/>
          <w:sz w:val="24"/>
        </w:rPr>
        <w:t>3.</w:t>
        <w:tab/>
        <w:t>Bottlenecking Import Interfaces with Native Load in Order to Lessen Competition in Export Market</w:t>
      </w:r>
      <w:r>
        <w:rPr>
          <w:b/>
          <w:bCs/>
          <w:sz w:val="24"/>
        </w:rPr>
        <w:t>.</w:t>
      </w:r>
      <w:r>
        <w:rPr>
          <w:b/>
          <w:bCs/>
          <w:i/>
          <w:iCs/>
          <w:sz w:val="24"/>
        </w:rPr>
        <w:t xml:space="preserve">  </w:t>
      </w:r>
      <w:r>
        <w:rPr>
          <w:sz w:val="24"/>
        </w:rPr>
        <w:t xml:space="preserve">California transmission providers have reserved in point-to-point service for “native load” the lion’s share of import capacity from the Northwest.  At the same time, some of these same transmission providers make large demands on point-to-point export capacity from Southern California into the desert Southwest, making off-system sales from their own generation units.  The relative amounts of imports and exports are difficult to gauge, particularly since, like the overwhelming majority of transmission owners, the California transmission providers persistently neglect to post wholesale purchases for native load on OASIS as required by section 1.11 of the </w:t>
      </w:r>
      <w:r>
        <w:rPr>
          <w:i/>
          <w:iCs/>
          <w:sz w:val="24"/>
        </w:rPr>
        <w:t>pro forma</w:t>
      </w:r>
      <w:r>
        <w:rPr>
          <w:sz w:val="24"/>
        </w:rPr>
        <w:t xml:space="preserve"> tariff (defining “Eligible Customer” as “including the Transmission Provider”) and 18 C.F.R. § 37.6(c), (d) and (e) (1997).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1440" w:start="-1440" w:end="-1440"/>
        <w:jc w:val="both"/>
        <w:rPr/>
      </w:pPr>
      <w:r>
        <w:rPr>
          <w:rFonts w:cs="Times New Roman" w:ascii="Times New Roman" w:hAnsi="Times New Roman"/>
          <w:b/>
          <w:bCs/>
          <w:i/>
          <w:iCs/>
          <w:sz w:val="24"/>
        </w:rPr>
        <w:t>4.</w:t>
        <w:tab/>
        <w:t xml:space="preserve">Gaming the Florida Border in SERC </w:t>
      </w:r>
      <w:r>
        <w:rPr>
          <w:rFonts w:cs="Times New Roman" w:ascii="Times New Roman" w:hAnsi="Times New Roman"/>
          <w:i/>
          <w:iCs/>
          <w:sz w:val="24"/>
        </w:rPr>
        <w:t>.</w:t>
      </w:r>
      <w:r>
        <w:rPr>
          <w:rFonts w:cs="Times New Roman" w:ascii="Times New Roman" w:hAnsi="Times New Roman"/>
          <w:sz w:val="24"/>
        </w:rPr>
        <w:t xml:space="preserve"> In order to sell power into Florida, the seller must transmit through the Integrated Transmission System (ITS) of Georgia, which is jointly owned by four Georgia utilities.  ITS does not operate as an independent system operator and does not offer an ITS-wide transmission service.  Certain of these utilities routinely interrupt or curtail  service for marketers and other transmission customers on the ground that capacity to import power into Georgia is needed to provide service to native load.  At the same time, however, these same transmission-owning utilities offer to sell to the curtailed customer their own generation from within Georgia for export to the Florida market.  The obvious effect is to increase the demand and price for generation within Georgia.  Using transmission in this fashion to increase the value of generation within the ITS would not be profitable for the Georgia utilities if service to all loads were provided on the same basis, under a uniform, open-access tariff.  Likewise, there would not be any incentive to discriminate against imports into the ITS if the generation and transmission of the Georgia utilities were operationally unbundled.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2880" w:right="288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Fonts w:cs="Times New Roman" w:ascii="Times New Roman" w:hAnsi="Times New Roman"/>
          <w:b/>
          <w:bCs/>
          <w:i/>
          <w:iCs/>
          <w:sz w:val="24"/>
        </w:rPr>
        <w:t>5.</w:t>
      </w:r>
      <w:r>
        <w:rPr>
          <w:rFonts w:cs="Times New Roman" w:ascii="Times New Roman" w:hAnsi="Times New Roman"/>
          <w:sz w:val="24"/>
        </w:rPr>
        <w:tab/>
      </w:r>
      <w:r>
        <w:rPr>
          <w:rFonts w:cs="Times New Roman" w:ascii="Times New Roman" w:hAnsi="Times New Roman"/>
          <w:b/>
          <w:bCs/>
          <w:i/>
          <w:iCs/>
          <w:sz w:val="24"/>
        </w:rPr>
        <w:t>Using Valuable Transmission Import Paths to Wheel Power under the Guise of Native Load Priority</w:t>
      </w:r>
      <w:r>
        <w:rPr>
          <w:rFonts w:cs="Times New Roman" w:ascii="Times New Roman" w:hAnsi="Times New Roman"/>
          <w:sz w:val="24"/>
        </w:rPr>
        <w:t>.  Numerous examples from the OASIS node of a MAIN utility show the utility’s merchant function importing power into the utility’s service territory using network integration service and then simultaneously exporting that power from the utility’s system using point</w:t>
        <w:noBreakHyphen/>
        <w:t>to</w:t>
        <w:noBreakHyphen/>
        <w:t>point service, with its system designated as the point of receipt.  The effect is to give the merchant function access to a higher priority of service for the first leg of the wheel by using ATC that is supposed to be available only for native load or wholesale sales within the control area.  The node data shows for example, instances of the utility using "Network Undesignated Transmission Service" to import power into its control area from the Central Illinois, Northern Indiana, and Michigan control areas.  During the same twenty</w:t>
        <w:noBreakHyphen/>
        <w:t>four hour interval, the OASIS node data shows exports of an equal or greater magnitude from its control area to the American Electric Power and Illinois Power control areas, using point</w:t>
        <w:noBreakHyphen/>
        <w:t>to</w:t>
        <w:noBreakHyphen/>
        <w:t>point non</w:t>
        <w:noBreakHyphen/>
        <w:t>firm hourly transmission service. It appears from this data that utility’s merchant function is effectively wheeling power across the utility’s control area using two separate transactions, one of which is intended for the service of native load customers only, rather than a "through and out" point-to-point service.  Despite recent Commission rulings ordering the utility to cease this "pooling" practice, (</w:t>
      </w:r>
      <w:r>
        <w:rPr>
          <w:rFonts w:cs="Times New Roman" w:ascii="Times New Roman" w:hAnsi="Times New Roman"/>
          <w:i/>
          <w:iCs/>
          <w:sz w:val="24"/>
        </w:rPr>
        <w:t>i.e</w:t>
      </w:r>
      <w:r>
        <w:rPr>
          <w:rFonts w:cs="Times New Roman" w:ascii="Times New Roman" w:hAnsi="Times New Roman"/>
          <w:sz w:val="24"/>
        </w:rPr>
        <w:t>., system sales) OASIS node data make clear the process is ongoing.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Fonts w:cs="Times New Roman" w:ascii="Times New Roman" w:hAnsi="Times New Roman"/>
          <w:b/>
          <w:bCs/>
          <w:i/>
          <w:iCs/>
          <w:sz w:val="24"/>
        </w:rPr>
        <w:t>6.</w:t>
        <w:tab/>
        <w:t xml:space="preserve">Tying up Critical Capacity on the WUMS/MAPP Interface for Native Load Growth.  </w:t>
      </w:r>
      <w:r>
        <w:rPr>
          <w:rFonts w:cs="Times New Roman" w:ascii="Times New Roman" w:hAnsi="Times New Roman"/>
          <w:sz w:val="24"/>
        </w:rPr>
        <w:t xml:space="preserve">MAIN utilities that own the limited import facilities on the eastern-side of the Wisconsin-Upper Michigan (“WUMS”)/MAPP interface have effectively  removed this transmission capacity from nondiscriminatory open-access.  They have done so be characterizing the capacity as “capacity benefit margin” or “CBM” and excluding it from the calculation of ATC or by reserving it for native load growth and, in violation of Orders No. 888 and No. 888-A, not releasing it in the interim for capacity reassignment.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b/>
          <w:bCs/>
          <w:sz w:val="24"/>
        </w:rPr>
      </w:pPr>
      <w:r>
        <w:rPr>
          <w:rFonts w:cs="Times New Roman" w:ascii="Times New Roman" w:hAnsi="Times New Roman"/>
          <w:b/>
          <w:bCs/>
          <w:i/>
          <w:iCs/>
          <w:sz w:val="30"/>
          <w:szCs w:val="30"/>
        </w:rPr>
        <w:t>B.</w:t>
        <w:tab/>
        <w:t>Problems with ATC:  Exclusions, Inaccuracies and Misuses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1.</w:t>
        <w:tab/>
        <w:t xml:space="preserve">Withholding Transmission Capacity for Reserve Purposes.  </w:t>
      </w:r>
      <w:r>
        <w:rPr>
          <w:sz w:val="24"/>
        </w:rPr>
        <w:t xml:space="preserve">The North American Electric Reliability Council (“NERC”) defines ATC as “the Total Transfer Capability (“TTC”) less the Transmission Reliability Margin (“TRM”), less the sum of existing transmission commitments (which includes retail customer service) and the Capacity Benefit Margin (“CBM”).”  The CBM is defined as “that amount of transmission  transfer capability reserved by load serving entities to ensure access to generation from interconnected systems to meet generation reliability requirements.”  Utilities in many of the NERC regions have withheld CBMs from ATC on the ground that the CBMs are not transmission, subject to open access, but rather are capacity resources needed to serve captive loads.  In some cases the CBMs were withheld pursuant to express tariff provisions and in other instances without tariff authority.  Withholding CBMs in this fashion, pursuant to a tariff provision or otherwise, is in direct conflict with the Commission’s order in </w:t>
      </w:r>
      <w:r>
        <w:rPr>
          <w:i/>
          <w:iCs/>
          <w:sz w:val="24"/>
        </w:rPr>
        <w:t xml:space="preserve">Duquesne Light Co., </w:t>
      </w:r>
      <w:r>
        <w:rPr>
          <w:sz w:val="24"/>
        </w:rPr>
        <w:t>71 F.E.R.C. ¶ 61,155 (1995).  In an operationally unbundled environment, where all uses of the transmission system are pursuant to an open-access tariff, OASIS operators would not have an incentive to withhold CBMs from ATC and transmission operators would not have an incentive to hoard CBM capacity.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(a)</w:t>
        <w:tab/>
        <w:t>The 11/25/97 Commission Order on PJM allows the new Fixed Transmission Rights (“FTRs”) to be allocated to current firm network and point-to-point customers, with any “remaining” FTRs to be auctioned (the Supporting Companies must submit a proposal for such auction) (Most marketers to not have any current firm rights.)  In addition, the Supporting Companies have been ordered to submit a proposal for future allocation of their current Capacity Benefit Margin over the interties.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t>(b)</w:t>
        <w:tab/>
        <w:t>Not Reporting Use of Interface Capacity.  Transmission owning utilities in PJM, MAPP, MAIN and NEPOOL are using critical capacity along their interfaces with other systems or pools and not reporting either the use or its effect on ATC.  This capacity, often referred to as CBM is simply hoarded for use at the discretion of the transmission owners.</w:t>
      </w:r>
      <w:r>
        <w:rPr>
          <w:rFonts w:cs="Times New Roman" w:ascii="Times New Roman" w:hAnsi="Times New Roman"/>
          <w:b/>
          <w:bCs/>
          <w:i/>
          <w:iCs/>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2.</w:t>
        <w:tab/>
        <w:t xml:space="preserve">Reserving ATC for the Transmission Provider’s Merchant Acquisitions. </w:t>
      </w:r>
      <w:r>
        <w:rPr>
          <w:sz w:val="24"/>
        </w:rPr>
        <w:t xml:space="preserve"> A transmission customer reserved transmission for a transaction for hourly energy over a four-to-five hour period for power purchased in the Southwest Power Pool (“SPP”) for resell into the control area of a Mid-Atlantic Interconnected Network (“MAIN”)  transmission provider. The transmission reservation for the transaction was approved by the transmission provider.  When the transmission customer sought to redirect the transaction to another sink in the control area of another MAIN transmission provider, for economic reasons, the transmission provider informed the customer that ATC on the path between SPP and the initial MAIN control area was no longer available and actually had not been available when it was first reserved; according to the transmission provider, the original transaction “should not have flowed.”  In other words, so long as the transaction benefitted the transmission provider's own merchant functions within its control area, the power would be allowed to flow into its own control area.  When the transaction no longer benefited its merchant function, the availability of the identical capacity disappeared.  At no time was the amount of ATC between the utilities in question.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b/>
          <w:bCs/>
          <w:i/>
          <w:i/>
          <w:iCs/>
          <w:sz w:val="24"/>
        </w:rPr>
      </w:pPr>
      <w:r>
        <w:rPr>
          <w:b/>
          <w:bCs/>
          <w:i/>
          <w:iCs/>
          <w:sz w:val="24"/>
        </w:rPr>
        <w:t>3.</w:t>
        <w:tab/>
        <w:t xml:space="preserve">Inconsistent ATC Determinations.  </w:t>
      </w:r>
      <w:r>
        <w:rPr>
          <w:sz w:val="24"/>
        </w:rPr>
        <w:t>The transfer capabilities between control areas are often reported inaccurately because each of the control areas are making their determinations on the basis of different or incomplete information.  Reported ATC for the ties between the New York Power Pool (“NYPP”) and the New England Power Pool (“NEPOOL”) for August 27, 1997, is a case in point.  NEPOOL’s transfer limit NYPP-to-NEPOOL was reported as 1300 megawatts.  The actual transfer limit NYPP-to-NEPOOL actually was +/- 700 megawatts due to Central-to-East tie limits in New York.  A regionwide system operator could be expected to possess greater knowledge of the regional grid and its constraints and therefore make more accurate ATC determinations between control areas.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i/>
          <w:i/>
          <w:iCs/>
          <w:sz w:val="24"/>
        </w:rPr>
      </w:pPr>
      <w:r>
        <w:rPr>
          <w:b/>
          <w:bCs/>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(a)</w:t>
        <w:tab/>
        <w:t>Recently, a marketer had a situation in which a utility did not post ATC on the OASIS and told the trader the ATC postings were simply “not available at all” (although there was ATC available).  Therefore, the marketer was unable to reserve and schedule the hourly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sz w:val="24"/>
        </w:rPr>
        <w:t>(b)</w:t>
        <w:tab/>
        <w:t>A utility posted 150 MW of ATC available.  The marketer was first in line to request the 150.  The utility later called the marketer and said that it could only have 100 and that 150 was not available, but could not explain why.  The utility said that the marketer should just schedule some amount below the posted ATC, but could not tell the marketer how much below, nor why its</w:t>
      </w:r>
      <w:r>
        <w:rPr>
          <w:b/>
          <w:bCs/>
          <w:sz w:val="24"/>
        </w:rPr>
        <w:t xml:space="preserve"> </w:t>
      </w:r>
      <w:r>
        <w:rPr>
          <w:sz w:val="24"/>
        </w:rPr>
        <w:t>ATC was inaccurate.  The marketer called the utility the next day at 7:00 a.m. and was told that ATC would not be available until later in the morning and that it may not be accurate then.  The utility said it cannot provide the correct amount over the phone because it isn’t sure of the correct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4.</w:t>
        <w:tab/>
        <w:t>Inexplicable Differences in Posted ATC</w:t>
      </w:r>
      <w:r>
        <w:rPr>
          <w:sz w:val="24"/>
        </w:rPr>
        <w:t>.  A utility in the Southeastern Reliability Council (“SERC”) routinely reports up to 2,000 or 3,000 MW less ATC over its interconnection with a neighboring system than the neighboring system reports for the identical interconnection.  The magnitude of the difference cannot be explained by simply concluding that one transmission provider is more prudent that the other.  At least one of the providers is not accurately reporting ATC.  One utility might be failing to post on OASIS transactions for its native load, or for grandfathered transmission customers, which might explain the persistent differences in ATC vis-a-vis its neighbor to the north.  Alternatively, the under-reporting may be consciously restricting avenues by which competitors could reach lucrative markets to its south, including the Florida peninsula.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sz w:val="24"/>
        </w:rPr>
      </w:pPr>
      <w:r>
        <w:rPr>
          <w:rFonts w:cs="Times New Roman" w:ascii="Times New Roman" w:hAnsi="Times New Roman"/>
          <w:sz w:val="24"/>
        </w:rPr>
        <w:t xml:space="preserve">On July 29, 1997, relying on a SERC transmission provider's OASIS node that showed approximately 300 MW of north-to-south export capacity over the provider’s intertie to the south, a marketer bought power at wholesale from the transmission provider to sell to an interconnected system to the south.  When the marketer attempted to schedule transmission of the power, however, it was informed by the interconnected system to the south that the north-to-south intertie capacity was only approximately 180 MW and not 300 as reported by the transmission provider that sold the power to the marketer.  The schedule was therefore denied and the marketer  was forced to resell the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power back to its seller at a loss.  The large inconsistency in reported ATC across this intertie would not have occurred had the OASIS nodes of these two SERC utilities been operated by a single, integrated regional transmission provider.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5.</w:t>
        <w:tab/>
        <w:t xml:space="preserve">Unreasonable Delays and Vanishing ATC. </w:t>
      </w:r>
      <w:r>
        <w:rPr>
          <w:sz w:val="24"/>
        </w:rPr>
        <w:t xml:space="preserve"> Many of us have experienced on many occasions unreasonable delays in the reporting of changes to ATC.  Often, the result is that posted ATC disappears when scheduling is attempted.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(a)</w:t>
        <w:tab/>
        <w:t xml:space="preserve">Seeking to market daily energy from a mid-Atlantic utility into the control area of a </w:t>
        <w:tab/>
        <w:tab/>
        <w:t xml:space="preserve">southern utility, a transmission customer checked OASIS for transmission capacity </w:t>
        <w:tab/>
        <w:tab/>
        <w:t xml:space="preserve">into the intended southern control area. When it called to confirm the presence of </w:t>
        <w:tab/>
        <w:tab/>
        <w:t xml:space="preserve">ATC, it was routed to a voice mail system  After considerable delay, the transmission </w:t>
        <w:tab/>
        <w:tab/>
        <w:t xml:space="preserve">provider returned the call and said that there was not enough transmission available </w:t>
        <w:tab/>
        <w:tab/>
        <w:t xml:space="preserve">and the transaction from the utility to the southern control area could not flow. When </w:t>
        <w:tab/>
        <w:tab/>
        <w:t xml:space="preserve">confronted with the fact that the transmission provider’s OASIS showed sufficient </w:t>
        <w:tab/>
        <w:tab/>
        <w:t xml:space="preserve">ATC to support the transaction, the southern utility’s scheduler informed the </w:t>
        <w:tab/>
        <w:tab/>
        <w:t xml:space="preserve">transmission customer that:  “We just imported more from that control area and there </w:t>
        <w:tab/>
        <w:tab/>
        <w:t xml:space="preserve">is no longer ATC for your transaction.”  In addition, for a next-day transaction, this </w:t>
        <w:tab/>
        <w:tab/>
        <w:t xml:space="preserve">same utility typically does not return calls until late in the afternoon/early evening, </w:t>
        <w:tab/>
        <w:tab/>
        <w:t xml:space="preserve">which ordinarily forecloses the opportunity for the power marketer to complete the </w:t>
        <w:tab/>
        <w:tab/>
        <w:t>transaction.  This scenario suggests at least three distinct problems: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Style14"/>
        <w:widowControl/>
        <w:numPr>
          <w:ilvl w:val="8"/>
          <w:numId w:val="1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880"/>
        <w:jc w:val="both"/>
        <w:rPr>
          <w:sz w:val="24"/>
        </w:rPr>
      </w:pPr>
      <w:r>
        <w:rPr>
          <w:sz w:val="24"/>
        </w:rPr>
        <w:t>Neighboring utilities do not agree on the level of ATC between their systems, lending support to the argument that ATC should be regionally determined;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Style14"/>
        <w:widowControl/>
        <w:numPr>
          <w:ilvl w:val="8"/>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1440" w:end="-1440"/>
        <w:jc w:val="both"/>
        <w:rPr/>
      </w:pPr>
      <w:r>
        <w:rPr>
          <w:sz w:val="24"/>
        </w:rPr>
        <w:t>Employees of the purchaser/transmission provider appear to be passing proprietary marketing information to the marketing affiliates of the transmission provider in violation of the standard of conduct.  The purchaser/transmission provider’s marketing affiliates are able to secure transactions with neighboring systems to their benefit and foreclose the opportunity for others (</w:t>
      </w:r>
      <w:r>
        <w:rPr>
          <w:i/>
          <w:iCs/>
          <w:sz w:val="24"/>
        </w:rPr>
        <w:t>e.g.</w:t>
      </w:r>
      <w:r>
        <w:rPr>
          <w:sz w:val="24"/>
        </w:rPr>
        <w:t>, those who found the opportunity first) to engage in transactions;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r>
    </w:p>
    <w:p>
      <w:pPr>
        <w:pStyle w:val="Style14"/>
        <w:widowControl/>
        <w:numPr>
          <w:ilvl w:val="8"/>
          <w:numId w:val="1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1440" w:start="1440" w:end="-1440"/>
        <w:jc w:val="both"/>
        <w:rPr>
          <w:sz w:val="24"/>
        </w:rPr>
      </w:pPr>
      <w:r>
        <w:rPr>
          <w:sz w:val="24"/>
        </w:rPr>
        <w:t>Staffing at the transmission provider’s desk is insufficient and/or the equipment hardware/software is inadequate to handle the market demands for service on a large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end="-1440"/>
        <w:jc w:val="both"/>
        <w:rPr>
          <w:rFonts w:ascii="Times New Roman" w:hAnsi="Times New Roman" w:cs="Times New Roman"/>
          <w:sz w:val="24"/>
        </w:rPr>
      </w:pPr>
      <w:r>
        <w:rPr>
          <w:rFonts w:cs="Times New Roman" w:ascii="Times New Roman" w:hAnsi="Times New Roman"/>
          <w:sz w:val="24"/>
        </w:rPr>
        <w:t>(b)</w:t>
        <w:tab/>
        <w:t>Another regular occurrence is the inaccuracy of posted ATC.  A utility in the ECAR region recently posted monthly firm ATC of 680 MW on a particular interface.  A marketer then submitted three transmission requests totaling 600 MW.  The following day, the marketer checked the ATC once more and saw that 680 MW was still available.  When he then called the transmission representative to check on his request, he was told the ATC was not really available and the request was refused.  When asked why the transmission as posted was not available, the transmission representative chalked it up to a “glitch in [the] computer system.”  The following day the ATC posting was reduced to 30 MW.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1440"/>
        <w:jc w:val="both"/>
        <w:rPr>
          <w:rFonts w:ascii="Times New Roman" w:hAnsi="Times New Roman" w:cs="Times New Roman"/>
          <w:sz w:val="24"/>
        </w:rPr>
      </w:pPr>
      <w:r>
        <w:rPr>
          <w:rFonts w:cs="Times New Roman" w:ascii="Times New Roman" w:hAnsi="Times New Roman"/>
          <w:sz w:val="24"/>
        </w:rPr>
        <w:t>Last summer, following the Commission’s July 18, 1998 conference on the performance of OASIS, FERC’s Enforcement Task Force was presented with representative examples of inaccurate ATC postings.  In each case, the Enforcement Task Force investigated the information presented and verified that the reported ATC was inaccurate: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Style14"/>
        <w:widowControl/>
        <w:numPr>
          <w:ilvl w:val="8"/>
          <w:numId w:val="1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1440" w:end="-1440"/>
        <w:jc w:val="both"/>
        <w:rPr>
          <w:rFonts w:ascii="Times New Roman" w:hAnsi="Times New Roman" w:cs="Times New Roman"/>
          <w:sz w:val="24"/>
        </w:rPr>
      </w:pPr>
      <w:r>
        <w:rPr>
          <w:rFonts w:cs="Times New Roman" w:ascii="Times New Roman" w:hAnsi="Times New Roman"/>
          <w:sz w:val="24"/>
        </w:rPr>
        <w:t xml:space="preserve">A Midwest utility’s OASIS showed 0 MW of firm ATC available over a specific path for a particular day.  Nevertheless, the utility sold 100 MW of firm transmission over the path the following day.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Style14"/>
        <w:widowControl/>
        <w:numPr>
          <w:ilvl w:val="8"/>
          <w:numId w:val="1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1440" w:end="-1440"/>
        <w:jc w:val="both"/>
        <w:rPr>
          <w:rFonts w:ascii="Times New Roman" w:hAnsi="Times New Roman" w:cs="Times New Roman"/>
          <w:sz w:val="24"/>
        </w:rPr>
      </w:pPr>
      <w:r>
        <w:rPr>
          <w:rFonts w:cs="Times New Roman" w:ascii="Times New Roman" w:hAnsi="Times New Roman"/>
          <w:sz w:val="24"/>
        </w:rPr>
        <w:t>Although a second Midwest utility’s OASIS showed no nonfirm ATC available over a specific path for a particular day, the utility sold 50 MW of non-firm transmission capacity for the path the next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Style14"/>
        <w:widowControl/>
        <w:numPr>
          <w:ilvl w:val="8"/>
          <w:numId w:val="1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1440" w:end="-1440"/>
        <w:jc w:val="both"/>
        <w:rPr>
          <w:rFonts w:ascii="Times New Roman" w:hAnsi="Times New Roman" w:cs="Times New Roman"/>
          <w:sz w:val="24"/>
        </w:rPr>
      </w:pPr>
      <w:r>
        <w:rPr>
          <w:rFonts w:cs="Times New Roman" w:ascii="Times New Roman" w:hAnsi="Times New Roman"/>
          <w:sz w:val="24"/>
        </w:rPr>
        <w:t>A request for 50 MW was submitted to a western utility whose OASIS showed 83 MW of monthly firm capacity as available over a specific path.  The request was rejected based on the reason that only 8 MW was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Style14"/>
        <w:widowControl/>
        <w:numPr>
          <w:ilvl w:val="8"/>
          <w:numId w:val="1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1440" w:end="-1440"/>
        <w:jc w:val="both"/>
        <w:rPr/>
      </w:pPr>
      <w:r>
        <w:rPr>
          <w:rFonts w:cs="Times New Roman" w:ascii="Times New Roman" w:hAnsi="Times New Roman"/>
          <w:sz w:val="24"/>
        </w:rPr>
        <w:t xml:space="preserve">A Southwest utility’s OASIS showed 100 MW of firm daily capacity available over a particular path before </w:t>
      </w:r>
      <w:r>
        <w:rPr>
          <w:rFonts w:cs="Times New Roman" w:ascii="Times New Roman" w:hAnsi="Times New Roman"/>
          <w:i/>
          <w:iCs/>
          <w:sz w:val="24"/>
        </w:rPr>
        <w:t>and</w:t>
      </w:r>
      <w:r>
        <w:rPr>
          <w:rFonts w:cs="Times New Roman" w:ascii="Times New Roman" w:hAnsi="Times New Roman"/>
          <w:sz w:val="24"/>
        </w:rPr>
        <w:t xml:space="preserve"> after a request for 39 MW of firm capacity was entered and confirmed.  The utility’s OASIS site indicated that it had not been updated for several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2880" w:right="2880" w:gutter="0" w:header="1440" w:top="1496" w:footer="475" w:bottom="531"/>
          <w:formProt w:val="false"/>
          <w:textDirection w:val="lrTb"/>
          <w:docGrid w:type="default" w:linePitch="360" w:charSpace="0"/>
        </w:sectPr>
      </w:pPr>
    </w:p>
    <w:p>
      <w:pPr>
        <w:pStyle w:val="Style14"/>
        <w:widowControl/>
        <w:numPr>
          <w:ilvl w:val="8"/>
          <w:numId w:val="1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2880"/>
        <w:jc w:val="both"/>
        <w:rPr>
          <w:sz w:val="24"/>
        </w:rPr>
      </w:pPr>
      <w:r>
        <w:rPr>
          <w:rFonts w:cs="Times New Roman" w:ascii="Times New Roman" w:hAnsi="Times New Roman"/>
          <w:sz w:val="24"/>
        </w:rPr>
        <w:t>The OASIS of a MAIN utility showed 140 MW of firm monthly ATC available over a specific path for a two month period.  A request was submitted for the two-month period.  The utility denied the request “based on the new MAIN 97 Summer Firm ATC Case” but the ATC remained posted as available.  On another occasion, this same utility showed 1500 MW of firm daily ATC available for an 8 day period over a particular path.  A request for 100 MW of firm weekly service for this path was submitted and rejected due to “no firm transmission available on this path at this time.”  The utility’s OASIS also showed 1500 MW of firm daily ATC available for the next week.  A request submitted for 100 MW for the second week was also rejected based on “no firm transmission available on this path at this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(c)</w:t>
        <w:tab/>
        <w:t>A marketer also had a situation where the transmission operator would not schedule a transaction in which the tag had one incorrect piece of information (even though the correct information was on the schedule and the correct tag information was communicated to the transmission provider before the 20 minute deadline).  The marketer called the operator to ask if he cut off all transactions at the same time and he said he did not have time to talk and we could talk to the supervisor (who was out of town).  After a call from the marketer’s attorney, the utility’s representatives, including the transmission manager and regulatory lawyer, said that the utility was trying to be more responsive to customers.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(d)</w:t>
        <w:tab/>
        <w:t>A marketer called a utility 50 minutes before the hour to reserve and schedule an hourly transaction (the utility’s tariff requires only 20 minutes notice).  Scheduler was told by the transmission provider that he was “too busy” and “didn’t have time to talk” and would not, therefore, schedule the transaction.  The marketer talked to the utility’s Assistant Controller who said it should not have happened.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6.</w:t>
        <w:tab/>
        <w:t xml:space="preserve">Hourly Trading with Certain SERC and SPP Utilities Is Nearly Impossible. </w:t>
      </w:r>
      <w:r>
        <w:rPr>
          <w:sz w:val="24"/>
        </w:rPr>
        <w:t>Owners of certain large transmission systems in Southeast and Southwest Electric Reliability Council (“SERC” and “SPP”) persistently accept reservations for nonfirm transmission services through, or into, their systems only to deny the requested energy schedule at the very last moment (within one-half hour of the scheduled start time) for hourly transactions.  These transmission providers either lack the staff or the capability to determine ATC and process transmission requests on an hourly basis even though they are legally obligated to offer nonfirm service on an hourly basis.  As a result, these utilities effectively prevent third parties from participating in an hourly market in the SERC and SPP regions.  If these utilities were required to schedule all of their uses of the transmission system in the same manner as third parties, there would be considerable incentive for them to improve the accuracy and timeliness of their performance.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7.</w:t>
        <w:tab/>
        <w:t xml:space="preserve">Failure to Net ATC to Reflect Counterflows. </w:t>
      </w:r>
      <w:r>
        <w:rPr>
          <w:sz w:val="24"/>
        </w:rPr>
        <w:t xml:space="preserve"> In many regions of the country, transmission customers have been denied transmission service by reason of a transmitting utility failing to recognize capacity made available by a counterflow.  For example, there is approximately 2000 MW of north-to-south capacity connecting the Florida peninsula to the Southeast.  During certain periods of time, the full 2000 MW is in use, and yet Florida, in turn, is exporting power north across the same intertie, thereby creating a counterflow and restoring capacity to the intertie.  Requests to use intertie capacity created by counterflows are routinely denied simply because schedulers do not recognize the counterflow.  This failure deprives consumers of many potentially economic transactions.  Such failures to measure ATC accurately can and should be eliminated by a consolidated open-access tariff administered by a regional transmission system operator.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8.</w:t>
        <w:tab/>
        <w:t xml:space="preserve">Manipulating Strategic Interface Capacity So that It Is Accessible Only to Generating Units Operated by the Transmission Provider or Its Affiliates. </w:t>
      </w:r>
      <w:r>
        <w:rPr>
          <w:sz w:val="24"/>
        </w:rPr>
        <w:t xml:space="preserve">The system of a Pacific Northwest transmission provider is situated in a strategic position between cheap Northwest hydropower and the higher cost markets in California and the Southwest.  Almost daily, this transmission provider reports that network service is using all of the ATC across its system, including all of the ATC on interconnections to the South into California and Nevada.  It is thus able to capture for itself the opportunity to buy the cheap Northwest hydropower, using network service.  At the same time, however, this same transmission provider frequently offers point-to-point service on a single line leading from one of its generation plants within its system to the California interties  -- capacity that is accessible </w:t>
      </w:r>
      <w:r>
        <w:rPr>
          <w:i/>
          <w:iCs/>
          <w:sz w:val="24"/>
        </w:rPr>
        <w:t>only</w:t>
      </w:r>
      <w:r>
        <w:rPr>
          <w:sz w:val="24"/>
        </w:rPr>
        <w:t xml:space="preserve"> to its own generation units and which is often significantly discounted.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b/>
          <w:bCs/>
          <w:i/>
          <w:iCs/>
          <w:sz w:val="30"/>
          <w:szCs w:val="30"/>
        </w:rPr>
        <w:t>C.</w:t>
        <w:tab/>
        <w:t>Violations of Reporting Requirements</w:t>
      </w:r>
      <w:r>
        <w:rPr>
          <w:b/>
          <w:bCs/>
          <w:i/>
          <w:iCs/>
          <w:sz w:val="24"/>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1.</w:t>
        <w:tab/>
        <w:t>Failure to Report Transmission Requests on OASIS</w:t>
      </w:r>
      <w:r>
        <w:rPr>
          <w:sz w:val="24"/>
        </w:rPr>
        <w:t xml:space="preserve">.  On a number of occasions, transmission-owning utilities in MAIN have omitted to report on their OASIS systems transmission requests made by their affiliated marketers as required.  As far as we are aware, these requests were for transactions </w:t>
      </w:r>
      <w:r>
        <w:rPr>
          <w:i/>
          <w:iCs/>
          <w:sz w:val="24"/>
        </w:rPr>
        <w:t>no</w:t>
      </w:r>
      <w:r>
        <w:rPr>
          <w:rFonts w:cs="Times New Roman" w:ascii="Times New Roman" w:hAnsi="Times New Roman"/>
          <w:i/>
          <w:iCs/>
          <w:sz w:val="24"/>
        </w:rPr>
        <w:t>t</w:t>
      </w:r>
      <w:r>
        <w:rPr>
          <w:rFonts w:cs="Times New Roman" w:ascii="Times New Roman" w:hAnsi="Times New Roman"/>
          <w:sz w:val="24"/>
        </w:rPr>
        <w:t xml:space="preserve"> involving bundled retail native load.  In an operationally unbundled environment, this disparate reporting treatment would disappear.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2.</w:t>
        <w:tab/>
        <w:t xml:space="preserve">Failure to Report Details of ATC.  </w:t>
      </w:r>
      <w:r>
        <w:rPr>
          <w:rFonts w:cs="Times New Roman" w:ascii="Times New Roman" w:hAnsi="Times New Roman"/>
          <w:sz w:val="24"/>
        </w:rPr>
        <w:t>A MAIN utility recently denied most of a marketer’s request for firm annual transmission capacity across a significant interface on the ground that there was not sufficient capacity.  Concurrently, the utility’s marketing affiliate requested and received firm transmission across the same interface, but only for a number of months during the same year.  Contrary to ATC posted on the utility’s OASIS, it turned out that capacity was only available during the months covered by the request of utility’s marketing affiliate.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rFonts w:ascii="Times New Roman" w:hAnsi="Times New Roman" w:cs="Times New Roman"/>
          <w:sz w:val="24"/>
        </w:rPr>
      </w:pPr>
      <w:r>
        <w:rPr>
          <w:rFonts w:cs="Times New Roman" w:ascii="Times New Roman" w:hAnsi="Times New Roman"/>
          <w:b/>
          <w:bCs/>
          <w:i/>
          <w:iCs/>
          <w:sz w:val="24"/>
        </w:rPr>
        <w:t>3.</w:t>
      </w:r>
      <w:r>
        <w:rPr>
          <w:rFonts w:cs="Times New Roman" w:ascii="Times New Roman" w:hAnsi="Times New Roman"/>
          <w:sz w:val="24"/>
        </w:rPr>
        <w:tab/>
      </w:r>
      <w:r>
        <w:rPr>
          <w:rFonts w:cs="Times New Roman" w:ascii="Times New Roman" w:hAnsi="Times New Roman"/>
          <w:b/>
          <w:bCs/>
          <w:i/>
          <w:iCs/>
          <w:sz w:val="24"/>
        </w:rPr>
        <w:t xml:space="preserve">Utility Violation of Tagging Commitments.  </w:t>
      </w:r>
      <w:r>
        <w:rPr>
          <w:rFonts w:cs="Times New Roman" w:ascii="Times New Roman" w:hAnsi="Times New Roman"/>
          <w:sz w:val="24"/>
        </w:rPr>
        <w:t xml:space="preserve">Recent electronic communications among control room staff at MAPP document a regional utility’s admitted practice of “mak[ing] up a set of tags.”  Needless to say, making up tags in response to NERC’s tagging requirements is a luxury that new market entrants do not have access to. </w:t>
      </w:r>
      <w:r>
        <w:rPr>
          <w:rFonts w:cs="Times New Roman" w:ascii="Times New Roman" w:hAnsi="Times New Roman"/>
          <w:b/>
          <w:bCs/>
          <w:sz w:val="24"/>
        </w:rPr>
        <w:t>[Jolly Hayden looking into this to clarify.]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Fonts w:cs="Times New Roman" w:ascii="Times New Roman" w:hAnsi="Times New Roman"/>
          <w:b/>
          <w:bCs/>
          <w:i/>
          <w:iCs/>
          <w:sz w:val="24"/>
        </w:rPr>
        <w:t>4.</w:t>
      </w:r>
      <w:r>
        <w:rPr>
          <w:rFonts w:cs="Times New Roman" w:ascii="Times New Roman" w:hAnsi="Times New Roman"/>
          <w:sz w:val="24"/>
        </w:rPr>
        <w:tab/>
      </w:r>
      <w:r>
        <w:rPr>
          <w:rFonts w:cs="Times New Roman" w:ascii="Times New Roman" w:hAnsi="Times New Roman"/>
          <w:b/>
          <w:bCs/>
          <w:i/>
          <w:iCs/>
          <w:sz w:val="24"/>
        </w:rPr>
        <w:t xml:space="preserve">Failure to Post Monthly Interconnected Values.  </w:t>
      </w:r>
      <w:r>
        <w:rPr>
          <w:rFonts w:cs="Times New Roman" w:ascii="Times New Roman" w:hAnsi="Times New Roman"/>
          <w:sz w:val="24"/>
        </w:rPr>
        <w:t>Neither the holding company nor the operating companies of a major SERC member post monthly TTC or ATC values for their interconnections with other systems.  As a result, potential competitors are forced to deal directly with the transmission provider’s staff to ascertain transmission availability.  Not only is this cumbersome, but it also forces the applicant for service to provide commercially valuable information to that staff well in advance of all transactions with terms greater than weekly.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sz w:val="24"/>
        </w:rPr>
      </w:pPr>
      <w:r>
        <w:rPr>
          <w:rFonts w:cs="Times New Roman" w:ascii="Times New Roman" w:hAnsi="Times New Roman"/>
          <w:b/>
          <w:bCs/>
          <w:i/>
          <w:iCs/>
          <w:sz w:val="30"/>
          <w:szCs w:val="30"/>
        </w:rPr>
        <w:t>D.</w:t>
        <w:tab/>
        <w:t>Misuse of ATC and Information on Reservations and Schedules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Fonts w:cs="Times New Roman" w:ascii="Times New Roman" w:hAnsi="Times New Roman"/>
          <w:b/>
          <w:bCs/>
          <w:i/>
          <w:iCs/>
          <w:sz w:val="24"/>
        </w:rPr>
        <w:t>1.</w:t>
        <w:tab/>
        <w:t>Improperly Sharing Dispatch or Unit Commitment Information with Merchant Function in the PJM Interconnection.</w:t>
      </w:r>
      <w:r>
        <w:rPr>
          <w:rFonts w:cs="Times New Roman" w:ascii="Times New Roman" w:hAnsi="Times New Roman"/>
          <w:sz w:val="24"/>
        </w:rPr>
        <w:t xml:space="preserve">  Within the PJM Interconnection, it appears that wholesale merchant function employees of transmission-owning member utilities are receiving preferential access to valuable commercial information.  The Interconnection receives from its transmission owning utility members advance information on unit commitment and dispatch, which the pool, in turn provides to all of the transmission-owning members.  Because of its considerable commercial value, OASIS Standards of Conduct direct that this information be used exclusively for operational purposes and not be made available by either the Interconnection or its transmission-owning members to personnel operating within the utilities’ wholesale merchant function.  Patterns of purchases and sales by the PJM transmission-owning utility members strongly indicate that their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wholesale merchant employees have unique, advance access to information concerning significant unit commitment and dispatch decisions.  The incentive to violate the Standards of Conduct and obtain preferential, advance access to valuable commercial information would not have been possible in an operationally unbundled industry.  Alternatively, discriminatory abuse of this information would not have been possible if the Interconnection were required to publicly disseminate on OASIS unit commitment and dispatch information at the same time this information is provided to transmission-owning members of the Interconnection.</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(a)</w:t>
        <w:tab/>
        <w:t>In addition, a marketer had a situation in which the PJM posted Market Clearing Price (“MCP”) was incorrect, but the transmission users, such as marketers, were not aware that the price was wrong.  After observing certain trading behavior on the part of some utilities, the marketer called PJM and was the informed that the MCP was incorrect.  A notice was then posted on the OASIS and the posting was corrected.  It was evident from the trading, however, that the generators (and their market affiliates) had access to the correct information on their own generation and could determine before the non-generation owning transmission users that the MCP was wrong.  This issue has been raised with the PJM Market Operations Committee, but has not been resolved.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rFonts w:ascii="Times New Roman" w:hAnsi="Times New Roman" w:cs="Times New Roman"/>
          <w:sz w:val="24"/>
        </w:rPr>
      </w:pPr>
      <w:r>
        <w:rPr>
          <w:b/>
          <w:bCs/>
          <w:i/>
          <w:iCs/>
          <w:sz w:val="24"/>
        </w:rPr>
        <w:t>2.</w:t>
        <w:tab/>
        <w:t xml:space="preserve">Unauthorized Exchange of Information between Transmission Provider and Marketing Affiliate. </w:t>
      </w:r>
      <w:r>
        <w:rPr>
          <w:sz w:val="24"/>
        </w:rPr>
        <w:t>An audio tape of a utility scheduler for a MAIN transmission provider (obtained in connection with a priority dispute) documents a conversation between the scheduler and a marketer working for an affiliate of the scheduler’s utility.  The marketing affiliate called the scheduler and, in turn, the scheduler proceeded, on audio tape, to provide the marketing affiliate with the details of an energy transaction between other parties.  Intentional or inadvertent disclosures of commercially sensitive information to the marketing affiliate of a transmission owner obviously would not occur in a fully unbundled industry.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t>(a)</w:t>
        <w:tab/>
        <w:t>In addition, a marketer had a situation where the transmission company called the generator and told the generator about the marketer’s transmission deal.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rFonts w:ascii="Times New Roman" w:hAnsi="Times New Roman" w:cs="Times New Roman"/>
          <w:sz w:val="24"/>
        </w:rPr>
      </w:pPr>
      <w:r>
        <w:rPr>
          <w:rFonts w:cs="Times New Roman" w:ascii="Times New Roman" w:hAnsi="Times New Roman"/>
          <w:sz w:val="24"/>
        </w:rPr>
        <w:t xml:space="preserve">There are also situations in which the generation group answers the phone line for </w:t>
        <w:tab/>
        <w:tab/>
        <w:t xml:space="preserve">transmission, and in which the marketing affiliate and utility traders are in the same </w:t>
        <w:tab/>
        <w:tab/>
        <w:t>room.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t>(b)</w:t>
        <w:tab/>
        <w:t>Marketers have had numerous situations in which the tag sink information (which is only to be given to the control area and the participants in chain) appeared to have been shared with the utility’s marketing affiliate because the next hour our deal is discontinued by the seller who goes directly to the utility.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rFonts w:ascii="Times New Roman" w:hAnsi="Times New Roman" w:cs="Times New Roman"/>
          <w:sz w:val="24"/>
        </w:rPr>
      </w:pPr>
      <w:r>
        <w:rPr>
          <w:b/>
          <w:bCs/>
          <w:i/>
          <w:iCs/>
          <w:sz w:val="24"/>
        </w:rPr>
        <w:t>3.</w:t>
        <w:tab/>
        <w:t xml:space="preserve">Preferential Treatment of an Affiliate When Processing Transmission Requests.  </w:t>
      </w:r>
      <w:r>
        <w:rPr>
          <w:sz w:val="24"/>
        </w:rPr>
        <w:t>OASIS data show an instance in the SERC region, in which a transmission provider confirmed a set of five transmission requests by its affiliate inside of twenty minutes.  The total capacity value of these requests was over 1600 MW of firm transmission for a nine-year period.  Marketers operating in the area are hard pressed to fill out the paper work for a standard transmission service agreement in twenty minutes, never mind get the transmission provider to complete a study and confirm approval of the request in that time.  The same OASIS data show a set of service requests from another market participant to the same provider -- this time for two years and a total of 48 MW, which took the same utility close to three months to approve.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i/>
          <w:i/>
          <w:iCs/>
          <w:sz w:val="30"/>
          <w:szCs w:val="30"/>
        </w:rPr>
      </w:pPr>
      <w:r>
        <w:rPr>
          <w:rFonts w:cs="Times New Roman" w:ascii="Times New Roman" w:hAnsi="Times New Roman"/>
          <w:b/>
          <w:bCs/>
          <w:i/>
          <w:iCs/>
          <w:sz w:val="30"/>
          <w:szCs w:val="3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1440"/>
        <w:jc w:val="both"/>
        <w:rPr>
          <w:rFonts w:ascii="Times New Roman" w:hAnsi="Times New Roman" w:cs="Times New Roman"/>
          <w:sz w:val="24"/>
        </w:rPr>
      </w:pPr>
      <w:r>
        <w:rPr>
          <w:rFonts w:cs="Times New Roman" w:ascii="Times New Roman" w:hAnsi="Times New Roman"/>
          <w:b/>
          <w:bCs/>
          <w:i/>
          <w:iCs/>
          <w:sz w:val="30"/>
          <w:szCs w:val="30"/>
        </w:rPr>
        <w:t>E.</w:t>
        <w:tab/>
        <w:t>Line Loading Relief, Power Transfer Distribution Factors, Tagging &amp; Other Unilateral, Extra-Tariff Restrictions on Access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rFonts w:ascii="Times New Roman" w:hAnsi="Times New Roman" w:cs="Times New Roman"/>
          <w:sz w:val="24"/>
        </w:rPr>
      </w:pPr>
      <w:r>
        <w:rPr>
          <w:b/>
          <w:bCs/>
          <w:i/>
          <w:iCs/>
          <w:sz w:val="24"/>
        </w:rPr>
        <w:t>1.</w:t>
        <w:tab/>
        <w:t>Line Loading Relief and Curtailments Based on Power Distribution Factor Models.</w:t>
      </w:r>
      <w:r>
        <w:rPr>
          <w:sz w:val="24"/>
        </w:rPr>
        <w:t xml:space="preserve">  Interchange transactions between MAIN control areas and other control areas in the East Central Area Reliability (“ECAR”) Coordination Agreement have increasingly been denied or curtailed due to unavailable transmission capacity as predicted by Power Transfer Distribution Factors (“PTDFs”).  While heavy summer loading conditions have led historically to transaction curtailments between MAIN and control areas to the south, such as Duke, Carolina Power and Light, and TVA, the current number and magnitude of curtailments far exceeds those experienced (and justified) in the past. We strongly believe that the increasing amount of curtailments may be attributable to erroneous assumptions built into the PTDF models that exaggerate apparent line loadings and reduce ATC.  The PTDF models being used in MAIN and ECAR (and possibly elsewhere) have not been filed with or found to be just and reasonable by the Commission; nor are they available to transmission customers through OASIS or otherwise.  The accuracy of the PTDF models and the assumptions that they employ would likely improve if all uses of the transmission system were dependent on the same capacity determinations and OASIS postings.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t>(a)</w:t>
        <w:tab/>
        <w:t>Marketers have been curtained in SERC because of MAIN Line Load Relief (“LLR”) even though none of the wheels were scheduled through MAIN.  This harms our ability to rely on scheduled deals flowing, thus leading to an increase in payments of liquidated damages, as well as harming our reliability.  In many cases, we are not informed of LLR curtailments until after the hour when we are unable to reschedule the transaction.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t>(b)</w:t>
        <w:tab/>
        <w:t>Marketers have been told of “Line Load Relief Freezes” and no energy can be scheduled (for example, through a utility) due to MAIN Guide 1C.  Since ATC is not updated frequently, this practice shuts down the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t>(c)</w:t>
        <w:tab/>
        <w:t>MAIN Guide 1C LLR affects hourly deals that have been flowing already because some transmission providers will not let the hourly deal continue for the next hour (ATC is now set to 0).  Marketers maintain that such a flowing hourly deal is not a new schedule.  Both this practice and (b) above severely restrict hourly trading.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t>(d)</w:t>
        <w:tab/>
        <w:t>MAIN curtails utilities on a different basis than it curtails marketers.  For example, pursuant to Main Guide 1C, Line Load Relief, MAIN has curtailed some utilities only in amounts that it knows they can make up elsewhere.  Marketers are not shown this courtesy and are instead curtailed irrespective of whether they can obtain covers.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Fonts w:cs="Times New Roman" w:ascii="Times New Roman" w:hAnsi="Times New Roman"/>
          <w:b/>
          <w:bCs/>
          <w:i/>
          <w:iCs/>
          <w:sz w:val="24"/>
        </w:rPr>
        <w:t>2.</w:t>
        <w:tab/>
        <w:t xml:space="preserve">Unilateral, Extra-Tariff Restrictions on Transmission Access. </w:t>
      </w:r>
      <w:r>
        <w:rPr>
          <w:rFonts w:cs="Times New Roman" w:ascii="Times New Roman" w:hAnsi="Times New Roman"/>
          <w:sz w:val="24"/>
        </w:rPr>
        <w:t xml:space="preserve">Under a procedure devised unilaterally by NERC (described more fully below) and imposed by NERC member utilities, the last purchasing-selling entity in a chain of trades is responsible for providing to the control area operator a so-called “tag” to identify all upstream transactions affecting title to the power. </w:t>
      </w:r>
      <w:r>
        <w:rPr>
          <w:sz w:val="24"/>
        </w:rPr>
        <w:t xml:space="preserve"> The burdensome obligation to tag is neither a term of the contract between the member and utility nor a term in the utility’s transmission tariff; yet the tag must be made, according to some utilities, before a transaction can be scheduled.  Insofar as the tagging rule is unilateral and extra-tariff, the onus of tagging will typically fall on the least powerful party to a transaction.  This discrimination would be unlikely if all transmission users took service pursuant to a uniform open-access tariff, the terms of which had all been publicly noticed and approved by the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3.</w:t>
        <w:tab/>
        <w:t>Denying Scheduling to Interchange Transactions that Are Not Tagged.</w:t>
      </w:r>
      <w:r>
        <w:rPr>
          <w:sz w:val="24"/>
        </w:rPr>
        <w:t xml:space="preserve">  On July 17, 1997, a transmission customer was selling power to a utility in SERC.  When it lost its original power source, it found substitute power from a marketer, but was told that it would have to provide a tag to the transmission provider affiliated with that marketer.  The SERC utility purchaser refused to provide the transmission customer with all of the information needed to make a tag; the customer then tried to cobble together whatever information was available to help it provide a tag to the transmission provider.  Minutes before the power was to begin flowing, the transmission provider informed the transmission customer that the tag </w:t>
      </w:r>
      <w:r>
        <w:rPr>
          <w:i/>
          <w:iCs/>
          <w:sz w:val="24"/>
        </w:rPr>
        <w:t>that had been provided</w:t>
      </w:r>
      <w:r>
        <w:rPr>
          <w:sz w:val="24"/>
        </w:rPr>
        <w:t xml:space="preserve"> was inadequate. For that reason, it refused the seller’s schedule, and, as a result, the seller incurred liquidated damages liabilities to its new supplier.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sz w:val="24"/>
        </w:rPr>
      </w:pPr>
      <w:r>
        <w:rPr>
          <w:sz w:val="24"/>
        </w:rPr>
        <w:t>(a)</w:t>
        <w:tab/>
        <w:t>NERC has now imposed requirements that tags must be submitted (although some areas, PJM for example, are not requiring tags).  In an unbundled industry where all transmission system users are equally dependent on the rules and procedures contained in the transmission tariff, it is doubtful that any user would tolerate extra-tariff restrictions on service, such as tagging.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4.</w:t>
        <w:tab/>
        <w:t xml:space="preserve">Requiring a New Tag Each Hour for Continuing Transactions. </w:t>
      </w:r>
      <w:r>
        <w:rPr>
          <w:sz w:val="24"/>
        </w:rPr>
        <w:t xml:space="preserve"> A marketer was selling power to a utility and lost a 50 megawatt supply from another utility during peak period, due to line loading relief (“LLR”) in the SPP.  Replacement power for the first two hours of LLR was obtained from the first utility and thereafter was re-supplied and transmitted on the first utility for six hours.  At the end of those six hours, the first utility cut the schedule on the ground that it had not been tagged for that hour.  The marketer called the scheduling desk of the first utility and explained that it had faxed the tag to the utility’s desk and had confirmation of the fax being received.  The utility’s scheduler said he could not get it, could not explain it, and was taking the schedule to zero because he did not get the tag.  Unable to flow power, the marketer lost the supply and its load.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b/>
          <w:bCs/>
          <w:i/>
          <w:iCs/>
          <w:sz w:val="24"/>
        </w:rPr>
        <w:t>5.</w:t>
        <w:tab/>
        <w:t xml:space="preserve">Power Pool-Wide, Unilateral Restrictions on Access.  </w:t>
      </w:r>
      <w:r>
        <w:rPr>
          <w:sz w:val="24"/>
        </w:rPr>
        <w:t xml:space="preserve">In addition to individual refusals to schedule untagged power, the SPP has adopted NERC transmission loading relief (“TLR”) procedures that are based on tagging transactions and interrupting categories of tagged transactions as a device to manage line loading.  In order to encourage tagging, SPP (as evidenced in the attached SPP staff proposal) is poised to incorporate tagging as an extra-tariff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4"/>
        </w:rPr>
        <w:t xml:space="preserve">criteria for determining curtailment priority.  At page 3 of an August 2, 1997, report entitled </w:t>
      </w:r>
      <w:r>
        <w:rPr>
          <w:i/>
          <w:iCs/>
          <w:sz w:val="24"/>
        </w:rPr>
        <w:t>Proposed Tagging Incentive to be Used Within SPP</w:t>
      </w:r>
      <w:r>
        <w:rPr>
          <w:sz w:val="24"/>
        </w:rPr>
        <w:t>, Attachment A hereto, the SPP staff concludes by stating: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720"/>
        <w:jc w:val="both"/>
        <w:rPr>
          <w:sz w:val="24"/>
        </w:rPr>
      </w:pPr>
      <w:r>
        <w:rPr>
          <w:sz w:val="24"/>
        </w:rPr>
        <w:t>To bring SPP members into compliance with [NERC] Policy 3 and to encourage the use of the tagging form for all schedules within the SPP, including next hour schedules, the SPP staff recommends an incentive for tagging be adopted such that during periods of LLR, schedules that do not have a properly filled out tag that have been ftp’d [uploaded electronically via Internet] to SPP and that are subject to a hold or curtailment will be assigned the lowest transmission service priority.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There is no mention whether SPP and its member utilities plan to amend their transmission tariffs in accordance with this recommendation before implementing this proposed transmission service priority.  Our experience with other Transmission Providers that have denied transmission services on the basis of tagging strongly suggests that SPP members have no intention of submitting this priority change to the Commission and obtaining Commission approval before its implementation. In an unbundled industry where all transmission system users are equally dependent on the rules and procedures contained in the transmission tariff, it is doubtful that any user would tolerate extra-tariff restrictions on service, such as tagging.</w:t>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r>
      <w:r>
        <w:rPr>
          <w:b/>
          <w:bCs/>
          <w:sz w:val="30"/>
          <w:szCs w:val="30"/>
        </w:rPr>
        <w:t>APPENDIX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b/>
          <w:bCs/>
          <w:i/>
          <w:iCs/>
          <w:sz w:val="24"/>
        </w:rPr>
        <w:t>FPA Section 201 Authority over Public Utility Facilities.</w:t>
      </w:r>
      <w:r>
        <w:rPr>
          <w:sz w:val="24"/>
        </w:rPr>
        <w:t xml:space="preserve">  The Commission’s jurisdiction over electric utility companies, set forth in FPA section 201(b)(1), 16 U.S.C. § 824(b)(1) (1988), includes the authority to regulate “the sale of electric energy at wholesale in interstate commerce” and “the transmission of electric energy in interstate commerce” by “public utilities.”  FPA section 201 confers on the Commission plenary authority over all facilities used for the transmission or wholesale of electric energy in interstate commerce.  That authority extends to all facilities, the costs of which are recorded in Account Numbers 560 through 574 of the Uniform System of Accounts, and is applicable to all public utilities.</w:t>
      </w:r>
      <w:r>
        <w:rPr>
          <w:rStyle w:val="FootnoteCharacters"/>
          <w:rStyle w:val="FootnoteReference"/>
          <w:sz w:val="24"/>
          <w:vertAlign w:val="superscript"/>
        </w:rPr>
        <w:footnoteReference w:customMarkFollows="1" w:id="55"/>
        <w:t>1</w:t>
      </w:r>
      <w:r>
        <w:rPr>
          <w:sz w:val="24"/>
        </w:rPr>
        <w:t xml:space="preserve">  This authority is exclusive; it cannot be delegated.</w:t>
      </w:r>
      <w:r>
        <w:rPr>
          <w:rStyle w:val="FootnoteCharacters"/>
          <w:rStyle w:val="FootnoteReference"/>
          <w:sz w:val="24"/>
          <w:vertAlign w:val="superscript"/>
        </w:rPr>
        <w:footnoteReference w:customMarkFollows="1" w:id="56"/>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 xml:space="preserve">Various courts have held that a sale or transmission of electric energy is “in interstate commerce” if (1) the electric energy that is sold or transmitted was generated in a state other than the state in which the interstate transaction ends or (2) the electric energy has been commingled with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out-of-state energy, irrespective of whether an actual interstate sale or transmission takes place.</w:t>
      </w:r>
      <w:r>
        <w:rPr>
          <w:rStyle w:val="FootnoteCharacters"/>
          <w:rStyle w:val="FootnoteReference"/>
          <w:sz w:val="24"/>
          <w:vertAlign w:val="superscript"/>
        </w:rPr>
        <w:footnoteReference w:customMarkFollows="1" w:id="57"/>
        <w:t>3</w:t>
      </w:r>
      <w:r>
        <w:rPr>
          <w:sz w:val="24"/>
        </w:rPr>
        <w:t xml:space="preserve"> Virtually all lines at transmission voltage levels within the contiguous 48 states are in interstate commerce by reason of their connection to interstate grids.</w:t>
      </w:r>
      <w:r>
        <w:rPr>
          <w:rStyle w:val="FootnoteCharacters"/>
          <w:rStyle w:val="FootnoteReference"/>
          <w:sz w:val="24"/>
          <w:vertAlign w:val="superscript"/>
        </w:rPr>
        <w:footnoteReference w:customMarkFollows="1" w:id="58"/>
        <w:t>4</w:t>
      </w:r>
      <w:r>
        <w:rPr>
          <w:sz w:val="24"/>
        </w:rPr>
        <w:t xml:space="preserve">  Under FPA section 201(b), the Commission can coordinate comparability standards in all regions of the country on nearly all transmission facilities.</w:t>
      </w:r>
      <w:r>
        <w:rPr>
          <w:rStyle w:val="FootnoteCharacters"/>
          <w:rStyle w:val="FootnoteReference"/>
          <w:sz w:val="24"/>
          <w:vertAlign w:val="superscript"/>
        </w:rPr>
        <w:footnoteReference w:customMarkFollows="1" w:id="59"/>
        <w:t>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bCs/>
          <w:i/>
          <w:iCs/>
          <w:sz w:val="24"/>
        </w:rPr>
        <w:t xml:space="preserve">FPA Section 202 and PURPA Section 205 Authority over Interconnection and Pooling of Transmission Resources.  </w:t>
      </w:r>
      <w:r>
        <w:rPr>
          <w:rFonts w:cs="Times New Roman" w:ascii="Times New Roman" w:hAnsi="Times New Roman"/>
          <w:sz w:val="24"/>
        </w:rPr>
        <w:t>Section 202 of the FPA and section 205 of the Public Utilities Regulatory Policy Act of 1978 (“PURPA”) empower the Commission to encourage regional ISOs or other regional entities charged with operating transmission systems.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sz w:val="24"/>
        </w:rPr>
      </w:pPr>
      <w:r>
        <w:rPr>
          <w:rFonts w:cs="Times New Roman" w:ascii="Times New Roman" w:hAnsi="Times New Roman"/>
          <w:sz w:val="24"/>
        </w:rPr>
        <w:t>In pertinent part, section 202(a) provides: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sectPr>
          <w:headerReference w:type="default" r:id="rId17"/>
          <w:footerReference w:type="default" r:id="rId18"/>
          <w:footnotePr>
            <w:numFmt w:val="decimal"/>
          </w:footnotePr>
          <w:type w:val="nextPage"/>
          <w:pgSz w:w="12240" w:h="15840"/>
          <w:pgMar w:left="1440" w:right="1440" w:gutter="0" w:header="1440" w:top="1496" w:footer="475" w:bottom="531"/>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pPr>
      <w:r>
        <w:rPr>
          <w:rFonts w:cs="Times New Roman" w:ascii="Times New Roman" w:hAnsi="Times New Roman"/>
          <w:sz w:val="24"/>
        </w:rPr>
        <w:t xml:space="preserve">[T]he Commission is empowered and directed to divide the country into regional districts for the voluntary interconnection and coordination of facilities for the generation, transmission, and sale of electric energy. . . .  </w:t>
      </w:r>
      <w:r>
        <w:rPr>
          <w:rFonts w:cs="Times New Roman" w:ascii="Times New Roman" w:hAnsi="Times New Roman"/>
          <w:i/>
          <w:iCs/>
          <w:sz w:val="24"/>
        </w:rPr>
        <w:t>Each such district shall embrace an area which, in the judgment of the Commission, can economically be served by such interconnected and coordinated electric facilities.</w:t>
      </w:r>
      <w:r>
        <w:rPr>
          <w:rFonts w:cs="Times New Roman" w:ascii="Times New Roman" w:hAnsi="Times New Roman"/>
          <w:sz w:val="24"/>
        </w:rPr>
        <w:t xml:space="preserve">  It shall be the duty of the Commission to promote and encourage such interconnection and coordination within each such district and between such districts.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t xml:space="preserve">16 U.S.C. § 824a(a) (1994) (emphasis added).  The legislative history of section 202a instructs that: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rFonts w:ascii="Times New Roman" w:hAnsi="Times New Roman" w:cs="Times New Roman"/>
          <w:sz w:val="24"/>
        </w:rPr>
      </w:pPr>
      <w:r>
        <w:rPr>
          <w:rFonts w:cs="Times New Roman" w:ascii="Times New Roman" w:hAnsi="Times New Roman"/>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jc w:val="both"/>
        <w:rPr/>
      </w:pPr>
      <w:r>
        <w:rPr>
          <w:rFonts w:cs="Times New Roman" w:ascii="Times New Roman" w:hAnsi="Times New Roman"/>
          <w:sz w:val="24"/>
        </w:rPr>
        <w:t xml:space="preserve">[T]he Commission would have authority to work out the </w:t>
      </w:r>
      <w:r>
        <w:rPr>
          <w:rFonts w:cs="Times New Roman" w:ascii="Times New Roman" w:hAnsi="Times New Roman"/>
          <w:i/>
          <w:iCs/>
          <w:sz w:val="24"/>
        </w:rPr>
        <w:t>ideal utility</w:t>
      </w:r>
      <w:r>
        <w:rPr>
          <w:rFonts w:cs="Times New Roman" w:ascii="Times New Roman" w:hAnsi="Times New Roman"/>
          <w:sz w:val="24"/>
        </w:rPr>
        <w:t xml:space="preserve"> </w:t>
      </w:r>
      <w:r>
        <w:rPr>
          <w:rFonts w:cs="Times New Roman" w:ascii="Times New Roman" w:hAnsi="Times New Roman"/>
          <w:i/>
          <w:iCs/>
          <w:sz w:val="24"/>
        </w:rPr>
        <w:t>map</w:t>
      </w:r>
      <w:r>
        <w:rPr>
          <w:rFonts w:cs="Times New Roman" w:ascii="Times New Roman" w:hAnsi="Times New Roman"/>
          <w:sz w:val="24"/>
        </w:rPr>
        <w:t xml:space="preserve"> of the country and supervise the development of the industry toward that ideal.  The committee is confident that enlightened self-interest will lead the utilities to cooperate with the Commission and with each other in bringing about the economies which can alone be secured through the planned coordination which has long been advocated by the most able and progressive thinkers on this subject.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720" w:end="720"/>
        <w:jc w:val="both"/>
        <w:rPr>
          <w:rFonts w:ascii="Times New Roman" w:hAnsi="Times New Roman" w:cs="Times New Roman"/>
          <w:sz w:val="24"/>
        </w:rPr>
      </w:pPr>
      <w:r>
        <w:rPr>
          <w:rFonts w:cs="Times New Roman" w:ascii="Times New Roman" w:hAnsi="Times New Roman"/>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rFonts w:cs="Times New Roman" w:ascii="Times New Roman" w:hAnsi="Times New Roman"/>
          <w:sz w:val="24"/>
        </w:rPr>
        <w:t>Sen. Rep. No. 621.  74th Cong. lst Sess. (1935) at p. 40 (emphasis added).  Congress empowered the Commission to work out “the ideal utility map of the country and supervise the development of the industry toward that ideal.”  When the Department of Energy (“DOE”) was created in 1977, this authority was transferred to the DOE.  Thus, any initiative under FPA section 202(a) would have to be coordinated with the DOE.  Alternatively, the Commission could act under PURPA section 205, which empowers the Commission to study and make recommendations for “optimization in the efficiency of use of facilities and resources . . . through pooling arrangements.”  16 U.S.C. § 824a-1(b)(1994).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1440" w:end="-1440"/>
        <w:jc w:val="both"/>
        <w:rPr>
          <w:sz w:val="24"/>
        </w:rPr>
      </w:pPr>
      <w:r>
        <w:rPr>
          <w:sz w:val="24"/>
        </w:rPr>
      </w:r>
    </w:p>
    <w:p>
      <w:pPr>
        <w:sectPr>
          <w:footnotePr>
            <w:numFmt w:val="decimal"/>
          </w:footnotePr>
          <w:type w:val="continuous"/>
          <w:pgSz w:w="12240" w:h="15840"/>
          <w:pgMar w:left="2880" w:right="288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bCs/>
          <w:i/>
          <w:iCs/>
          <w:sz w:val="24"/>
        </w:rPr>
        <w:t>FPA Section 205 Authority over Rate Schedules.</w:t>
      </w:r>
      <w:r>
        <w:rPr>
          <w:sz w:val="24"/>
        </w:rPr>
        <w:t xml:space="preserve">  Pursuant to FPA section 205, 16 U.S.C. § 824d (1988), all public utilities must file schedules with the Commission showing the rates and charges and all other terms and conditions demanded for any interstate “transmission” subject to the FPA; “transmission,” as a jurisdictional activity, is not qualified in any respect.  All terms of service are to be included in tariff filings</w:t>
      </w:r>
      <w:r>
        <w:rPr>
          <w:rStyle w:val="FootnoteCharacters"/>
          <w:rStyle w:val="FootnoteReference"/>
          <w:sz w:val="24"/>
          <w:vertAlign w:val="superscript"/>
        </w:rPr>
        <w:footnoteReference w:customMarkFollows="1" w:id="60"/>
        <w:t>6</w:t>
      </w:r>
      <w:r>
        <w:rPr>
          <w:sz w:val="24"/>
        </w:rPr>
        <w:t xml:space="preserve"> and made subject to Commission review for conformity with these statutory standards.  FPA section 205 effectively codifies the bright-line test articulated in </w:t>
      </w:r>
      <w:r>
        <w:rPr>
          <w:i/>
          <w:iCs/>
          <w:sz w:val="24"/>
        </w:rPr>
        <w:t>Public Utilities Comm’n v. Attleboro Steam &amp; Electric Co.</w:t>
      </w:r>
      <w:r>
        <w:rPr>
          <w:sz w:val="24"/>
        </w:rPr>
        <w:t>, 273 U.S. 83 (1927),</w:t>
      </w:r>
      <w:r>
        <w:rPr>
          <w:rStyle w:val="FootnoteCharacters"/>
          <w:rStyle w:val="FootnoteReference"/>
          <w:sz w:val="24"/>
          <w:vertAlign w:val="superscript"/>
        </w:rPr>
        <w:footnoteReference w:customMarkFollows="1" w:id="61"/>
        <w:t>7</w:t>
      </w:r>
      <w:r>
        <w:rPr>
          <w:sz w:val="24"/>
        </w:rPr>
        <w:t xml:space="preserve"> by authorizing the Commission to regulate the rates, terms and conditions applicable to the transmission and sale for resale of electricity in interstate commerce.  </w:t>
      </w:r>
      <w:r>
        <w:rPr>
          <w:i/>
          <w:iCs/>
          <w:sz w:val="24"/>
        </w:rPr>
        <w:t>See Order No. 888</w:t>
      </w:r>
      <w:r>
        <w:rPr>
          <w:sz w:val="24"/>
        </w:rPr>
        <w:t>, [1991-96 Regs. Preambles] F.E.R.C. Stats. &amp; Regs.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bCs/>
          <w:i/>
          <w:iCs/>
          <w:sz w:val="24"/>
        </w:rPr>
        <w:t>FPA Section 206.</w:t>
      </w:r>
      <w:r>
        <w:fldChar w:fldCharType="begin"/>
      </w:r>
      <w:r>
        <w:rPr/>
        <w:instrText xml:space="preserve"> TC "FPA Section 206." \l 2 </w:instrText>
      </w:r>
      <w:r>
        <w:rPr/>
        <w:fldChar w:fldCharType="separate"/>
      </w:r>
      <w:r>
        <w:rPr/>
      </w:r>
      <w:r>
        <w:rPr/>
        <w:fldChar w:fldCharType="end"/>
      </w:r>
      <w:r>
        <w:rPr>
          <w:sz w:val="24"/>
        </w:rPr>
        <w:t xml:space="preserve">  FPA section 206, 16 U.S.C. § 824e (1988), empowers the Commission to remedy anticompetitive rates, charges, classifications, rules, regulations, practices, or contracts.  This power is broad.  </w:t>
      </w:r>
      <w:r>
        <w:rPr>
          <w:i/>
          <w:iCs/>
          <w:sz w:val="24"/>
        </w:rPr>
        <w:t>See, e.g., Mississippi Power &amp; Light Co. v. Mississippi ex rel. Moore,</w:t>
      </w:r>
      <w:r>
        <w:rPr>
          <w:sz w:val="24"/>
        </w:rPr>
        <w:t xml:space="preserve"> 487 U.S. 354, 360 n.6 (1988); </w:t>
      </w:r>
      <w:r>
        <w:rPr>
          <w:i/>
          <w:iCs/>
          <w:sz w:val="24"/>
        </w:rPr>
        <w:t>FPC v. Conway Corp.,</w:t>
      </w:r>
      <w:r>
        <w:rPr>
          <w:sz w:val="24"/>
        </w:rPr>
        <w:t xml:space="preserve"> 426 U.S. 271, 281 (1976).  FPA section 206 empowers the Commission, on its own motion or upon complaint, to investigate and determine the lawfulness of utility practices.  </w:t>
      </w:r>
      <w:r>
        <w:rPr>
          <w:i/>
          <w:iCs/>
          <w:sz w:val="24"/>
        </w:rPr>
        <w:t>See Alabama Power Co. v. FERC,</w:t>
      </w:r>
      <w:r>
        <w:rPr>
          <w:sz w:val="24"/>
        </w:rPr>
        <w:t xml:space="preserve"> 993 F.2d 1557, 1571 (D.C. Cir. 1993).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4"/>
        </w:rPr>
        <w:t xml:space="preserve">Under FPA section 206, the Commission has the authority to remedy the vestigial features of the post-Order 888 and 889 power industry that remain anticompetitive and discriminatory.  As we have argued above, there continues to be a broad discrepancy between transmission providers’ access to and uses of transmission systems and the ability of others to use those systems.  The Commission should now use its broad remedial powers under FPA section 206 to eradicate power industry structures that perpetuate discrimination.  Those remedial powers under section 206 are equally broad as the parallel Natural Gas Act authority that the Commission wielded in Order No. 636.  </w:t>
      </w:r>
      <w:r>
        <w:rPr>
          <w:i/>
          <w:iCs/>
          <w:sz w:val="24"/>
        </w:rPr>
        <w:t>See Associated Gas Distributors v. FERC,</w:t>
      </w:r>
      <w:r>
        <w:rPr>
          <w:sz w:val="24"/>
        </w:rPr>
        <w:t xml:space="preserve"> 824 F.2d 981, 998-99 (D.C. Cir. 1987) (discussing the Commission’s broad powers to remedy discrimination under both the FPA and the Natural Gas Act), </w:t>
      </w:r>
      <w:r>
        <w:rPr>
          <w:i/>
          <w:iCs/>
          <w:sz w:val="24"/>
        </w:rPr>
        <w:t xml:space="preserve">cert. denied, </w:t>
      </w:r>
      <w:r>
        <w:rPr>
          <w:sz w:val="24"/>
        </w:rPr>
        <w:t>485</w:t>
      </w:r>
      <w:r>
        <w:rPr>
          <w:i/>
          <w:iCs/>
          <w:sz w:val="24"/>
        </w:rPr>
        <w:t xml:space="preserve"> </w:t>
      </w:r>
      <w:r>
        <w:rPr>
          <w:sz w:val="24"/>
        </w:rPr>
        <w:t>U.S. 1006 (1988)</w:t>
      </w:r>
      <w:r>
        <w:rPr>
          <w:i/>
          <w:iCs/>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iCs/>
          <w:sz w:val="24"/>
        </w:rPr>
      </w:pPr>
      <w:r>
        <w:rPr>
          <w:i/>
          <w:i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bCs/>
          <w:i/>
          <w:iCs/>
          <w:sz w:val="24"/>
        </w:rPr>
        <w:t>Commission Responsibility to Advance Competition and Antitrust Policies.</w:t>
      </w:r>
      <w:r>
        <w:fldChar w:fldCharType="begin"/>
      </w:r>
      <w:r>
        <w:rPr/>
        <w:instrText xml:space="preserve"> TC "Commission Responsibility to Advance Competition and Antitrust Policies." \l 2 </w:instrText>
      </w:r>
      <w:r>
        <w:rPr/>
        <w:fldChar w:fldCharType="separate"/>
      </w:r>
      <w:r>
        <w:rPr/>
      </w:r>
      <w:r>
        <w:rPr/>
        <w:fldChar w:fldCharType="end"/>
      </w:r>
      <w:r>
        <w:rPr>
          <w:sz w:val="24"/>
        </w:rPr>
        <w:t xml:space="preserve">  The Commission’s FPA authority to remedy anticompetitive conditions includes the responsibility to follow antitrust policy in discharging its statutory obligations.  In </w:t>
      </w:r>
      <w:r>
        <w:rPr>
          <w:i/>
          <w:iCs/>
          <w:sz w:val="24"/>
        </w:rPr>
        <w:t>Gulf States,</w:t>
      </w:r>
      <w:r>
        <w:rPr>
          <w:sz w:val="24"/>
        </w:rPr>
        <w:t xml:space="preserve"> 411 U.S. at 759, the Supreme Court determined that the FPA did not render antitrust policy irrelevant to the Commission’s regulation of the electric services industry.  At issue in </w:t>
      </w:r>
      <w:r>
        <w:rPr>
          <w:i/>
          <w:iCs/>
          <w:sz w:val="24"/>
        </w:rPr>
        <w:t>Gulf States</w:t>
      </w:r>
      <w:r>
        <w:rPr>
          <w:sz w:val="24"/>
        </w:rPr>
        <w:t xml:space="preserve"> was whether the Commission must consider alleged anticompetitive effects of a public utility’s issuance of securities in determining whether the issuance was “compatible with the public interest” under FPA Section 204.</w:t>
      </w:r>
      <w:r>
        <w:rPr>
          <w:rStyle w:val="FootnoteCharacters"/>
          <w:rStyle w:val="FootnoteReference"/>
          <w:sz w:val="24"/>
          <w:vertAlign w:val="superscript"/>
        </w:rPr>
        <w:footnoteReference w:customMarkFollows="1" w:id="62"/>
        <w:t>8</w:t>
      </w:r>
      <w:r>
        <w:rPr>
          <w:sz w:val="24"/>
        </w:rPr>
        <w:t xml:space="preserve">  Gulf States Utilities had applied to the Commission for authority to issue for cash certain long-term bonds for the purpose of refunding a portion of Gulf States’ outstanding commercial paper and short-term notes.  Two intervening cities opposed Commission authorization on the grounds that the bond proceeds would fund anticompetitive activities in violation of the antitrust laws and the FPA.  The Commission held that the cities’ allegations of anticompetitive activities were irrelevant to the requested authorization of securities under FPA section 204.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4"/>
        </w:rPr>
        <w:t xml:space="preserve">On petition for review, the United States Court of Appeals for the District of Columbia Circuit remanded the proceeding with directions that the Commission “take a ‘hard look’” at the anticompetitive allegations raised by the cities.  </w:t>
      </w:r>
      <w:r>
        <w:rPr>
          <w:i/>
          <w:iCs/>
          <w:sz w:val="24"/>
        </w:rPr>
        <w:t>City of Lafayette v. SEC,</w:t>
      </w:r>
      <w:r>
        <w:rPr>
          <w:sz w:val="24"/>
        </w:rPr>
        <w:t xml:space="preserve"> 454 F.2d 941, 954 (1971).  In </w:t>
      </w:r>
      <w:r>
        <w:rPr>
          <w:i/>
          <w:iCs/>
          <w:sz w:val="24"/>
        </w:rPr>
        <w:t>Gulf States</w:t>
      </w:r>
      <w:r>
        <w:rPr>
          <w:sz w:val="24"/>
        </w:rPr>
        <w:t xml:space="preserve">, the Supreme Court affirmed, finding that the Commission’s mandate under FPA section 204 is a “broad and impressive” one.  411 U.S. at 756.  The Court emphasized that the Commission’s authority to consider anticompetitive and other conduct affecting the “public interest” extended to the other sections of Part II of the FPA.  </w:t>
      </w:r>
      <w:r>
        <w:rPr>
          <w:i/>
          <w:iCs/>
          <w:sz w:val="24"/>
        </w:rPr>
        <w:t>Id.</w:t>
      </w:r>
      <w:r>
        <w:rPr>
          <w:sz w:val="24"/>
        </w:rPr>
        <w:t xml:space="preserve"> at 758-59.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4"/>
        </w:rPr>
        <w:t xml:space="preserve">Similarly, in </w:t>
      </w:r>
      <w:r>
        <w:rPr>
          <w:i/>
          <w:iCs/>
          <w:sz w:val="24"/>
        </w:rPr>
        <w:t>Otter Tail Power Co. v. United States</w:t>
      </w:r>
      <w:r>
        <w:rPr>
          <w:sz w:val="24"/>
        </w:rPr>
        <w:t xml:space="preserve">, 410 U.S. 366 (1973), the Court determined that nothing in the legislative history of Part II of the FPA reveals a purpose to insulate electric power companies from the operation of antitrust laws.  To the contrary, the Court found that the legislative history of Part II indicates an overriding policy of maintaining competition to the maximum extent possible, consistent with the public interest.  </w:t>
      </w:r>
      <w:r>
        <w:rPr>
          <w:i/>
          <w:iCs/>
          <w:sz w:val="24"/>
        </w:rPr>
        <w:t>Id.</w:t>
      </w:r>
      <w:r>
        <w:rPr>
          <w:sz w:val="24"/>
        </w:rPr>
        <w:t xml:space="preserve"> at 374.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z w:val="24"/>
        </w:rPr>
        <w:t xml:space="preserve">Although interpreting different sections of the FPA, </w:t>
      </w:r>
      <w:r>
        <w:rPr>
          <w:i/>
          <w:iCs/>
          <w:sz w:val="24"/>
        </w:rPr>
        <w:t>Gulf States</w:t>
      </w:r>
      <w:r>
        <w:rPr>
          <w:sz w:val="24"/>
        </w:rPr>
        <w:t xml:space="preserve"> and </w:t>
      </w:r>
      <w:r>
        <w:rPr>
          <w:i/>
          <w:iCs/>
          <w:sz w:val="24"/>
        </w:rPr>
        <w:t>Otter Tail</w:t>
      </w:r>
      <w:r>
        <w:rPr>
          <w:sz w:val="24"/>
        </w:rPr>
        <w:t xml:space="preserve"> arrive at the same conclusion:  The Commission’s authority to remedy anticompetitive conditions or practices includes the responsibility for considering antitrust policy in discharging its statutory obligations.  Today, the Commission has the responsibility to identify and then remedy the anticompetitive features that persist in the electric power market following Order No. 888.  The ongoing, pre-competitive practices of vertically integrated transmission owners, and their combinations and associations, call for a structural remedy that will eliminate once and for all the incentive of transmission owners to discriminate.  Such a remedy must unbundle transmission completely, ensure </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transmission system operators’ independence and implement for all transmission customers a common transmission service and same-time information system.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r>
      <w:r>
        <w:rPr>
          <w:b/>
          <w:bCs/>
          <w:sz w:val="30"/>
          <w:szCs w:val="30"/>
        </w:rPr>
        <w:t>APPENDIX 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b/>
          <w:bCs/>
          <w:sz w:val="24"/>
        </w:rPr>
        <w:t xml:space="preserve">SECTION-BY-SECTION SUMMARY OF PETITIONERS’ REQUESTED CLARIFICATIONS AND RECONSIDERATIONS OF THE </w:t>
      </w:r>
      <w:r>
        <w:rPr>
          <w:b/>
          <w:bCs/>
          <w:i/>
          <w:iCs/>
          <w:sz w:val="24"/>
        </w:rPr>
        <w:t>PRO FORMA</w:t>
      </w:r>
      <w:r>
        <w:rPr>
          <w:b/>
          <w:bCs/>
          <w:sz w:val="24"/>
        </w:rPr>
        <w:t xml:space="preserve"> TARIFF</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t>PART II -- POINT-TO-POINT TRANSMISSION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t>Section 13.2 -- Reservation Priority</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the reservation priority of service over a secondary interface.  Secondary interface service should be second only to firm, and equal to nonfirm network service for native load, except that secondary-point service should not displace nonfirm service previously scheduled.</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w:t>
      </w:r>
      <w:r>
        <w:rPr>
          <w:i/>
          <w:iCs/>
          <w:sz w:val="24"/>
        </w:rPr>
        <w:t>all</w:t>
      </w:r>
      <w:r>
        <w:rPr>
          <w:sz w:val="24"/>
        </w:rPr>
        <w:t xml:space="preserve"> information relating to reservations by preexisting, “grandfathered” transmission customers must be posted on OASIS.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the definition of a time stamp.</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t>Section 13.3 -- Use of Firm Transmission Service by the Transmission Provider</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rFonts w:eastAsia="Baskerville Old Face"/>
          <w:b/>
          <w:bCs/>
          <w:sz w:val="24"/>
        </w:rPr>
        <w:t xml:space="preserve">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 and reconsider</w:t>
      </w:r>
      <w:r>
        <w:rPr>
          <w:sz w:val="24"/>
        </w:rPr>
        <w:t xml:space="preserve"> this section and the OASIS regulations, and should require </w:t>
      </w:r>
      <w:r>
        <w:rPr>
          <w:i/>
          <w:iCs/>
          <w:sz w:val="24"/>
        </w:rPr>
        <w:t>all</w:t>
      </w:r>
      <w:r>
        <w:rPr>
          <w:sz w:val="24"/>
        </w:rPr>
        <w:t xml:space="preserve"> service for native load and all of the Transmission Provider’s transactions to be posted on OASIS.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t>Section 13.5 -- Transmission Customer Obligations for Facility Additions or Redispatch Costs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this section applies only </w:t>
      </w:r>
      <w:r>
        <w:rPr>
          <w:i/>
          <w:iCs/>
          <w:sz w:val="24"/>
        </w:rPr>
        <w:t>before</w:t>
      </w:r>
      <w:r>
        <w:rPr>
          <w:sz w:val="24"/>
        </w:rPr>
        <w:t xml:space="preserve"> reservations are accepted, and that redispatching and redispatch costs are the Transmission Provider’s responsibility once unconditional firm service is sold.</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allow Transmission Providers to offer firm service conditional on the customer’s payment of redispatch costs, which must be fully disclosed on OASIS in advance.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have ATC calculated on a regional or super-regional basis by one or more </w:t>
      </w:r>
      <w:r>
        <w:rPr>
          <w:i/>
          <w:iCs/>
          <w:sz w:val="24"/>
        </w:rPr>
        <w:t>independent</w:t>
      </w:r>
      <w:r>
        <w:rPr>
          <w:sz w:val="24"/>
        </w:rPr>
        <w:t xml:space="preserve"> entities.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Alternatively, if Transmission Providers are allowed to calculate ATC, the Commission should </w:t>
      </w:r>
      <w:r>
        <w:rPr>
          <w:b/>
          <w:bCs/>
          <w:sz w:val="24"/>
        </w:rPr>
        <w:t>clarify</w:t>
      </w:r>
      <w:r>
        <w:rPr>
          <w:sz w:val="24"/>
        </w:rPr>
        <w:t xml:space="preserve"> that they must do so hourly, and all supporting data must be </w:t>
      </w:r>
      <w:r>
        <w:rPr>
          <w:i/>
          <w:iCs/>
          <w:sz w:val="24"/>
        </w:rPr>
        <w:t>easily</w:t>
      </w:r>
      <w:r>
        <w:rPr>
          <w:sz w:val="24"/>
        </w:rPr>
        <w:t xml:space="preserve"> available on OASIS for Customer review.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13.6 -- Curtailment of Firm Transmission Service</w:t>
      </w:r>
    </w:p>
    <w:p>
      <w:pPr>
        <w:sectPr>
          <w:headerReference w:type="default" r:id="rId19"/>
          <w:footerReference w:type="default" r:id="rId20"/>
          <w:footnotePr>
            <w:numFmt w:val="decimal"/>
          </w:footnotePr>
          <w:type w:val="nextPage"/>
          <w:pgSz w:w="12240" w:h="15840"/>
          <w:pgMar w:left="1440" w:right="1440" w:gutter="0" w:header="1440" w:top="1496" w:footer="475" w:bottom="531"/>
          <w:pgNumType w:start="1" w:fmt="decimal"/>
          <w:formProt w:val="false"/>
          <w:textDirection w:val="lrTb"/>
          <w:docGrid w:type="default" w:linePitch="360" w:charSpace="0"/>
        </w:sectPr>
      </w:pP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that customers cannot be made to pay for curtailed firm service. </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that curtailment is “required to maintain reliable operation” of the transmission grid </w:t>
      </w:r>
      <w:r>
        <w:rPr>
          <w:i/>
          <w:iCs/>
          <w:sz w:val="24"/>
        </w:rPr>
        <w:t>only</w:t>
      </w:r>
      <w:r>
        <w:rPr>
          <w:sz w:val="24"/>
        </w:rPr>
        <w:t xml:space="preserve"> when the Transmission Provider cannot relieve a constraint on </w:t>
      </w:r>
      <w:r>
        <w:rPr>
          <w:i/>
          <w:iCs/>
          <w:sz w:val="24"/>
        </w:rPr>
        <w:t>its own</w:t>
      </w:r>
      <w:r>
        <w:rPr>
          <w:sz w:val="24"/>
        </w:rPr>
        <w:t xml:space="preserve"> system by redispatching.  Third parties must have no role in the curtailment decision unless or until the Commission approves a rule on off-system line loading relief.</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that curtailment procedures must respect the designation of firm point-to-point service at the point of constraint (and not based on other nonfirm paths in the chain). A firm network path to a utility taking power from a non-designated resource is still firm. </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notification of curtailment “in a timely manner.”</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that curtailment must be imposed </w:t>
      </w:r>
      <w:r>
        <w:rPr>
          <w:i/>
          <w:iCs/>
          <w:sz w:val="24"/>
        </w:rPr>
        <w:t>pro rata</w:t>
      </w:r>
      <w:r>
        <w:rPr>
          <w:sz w:val="24"/>
        </w:rPr>
        <w:t xml:space="preserve"> only on transactions that affect materially a constraint.</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reconsider</w:t>
      </w:r>
      <w:r>
        <w:rPr>
          <w:sz w:val="24"/>
        </w:rPr>
        <w:t xml:space="preserve"> and add a liquidated damages clause to apply when a Transmission Provider unlawfully or unnecessarily curtails service.</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b/>
          <w:bCs/>
          <w:sz w:val="24"/>
        </w:rPr>
        <w:t>Section 13.7 -- Classification of Firm Transmission Service</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that changing a source or sink is </w:t>
      </w:r>
      <w:r>
        <w:rPr>
          <w:i/>
          <w:iCs/>
          <w:sz w:val="24"/>
        </w:rPr>
        <w:t>not</w:t>
      </w:r>
      <w:r>
        <w:rPr>
          <w:sz w:val="24"/>
        </w:rPr>
        <w:t xml:space="preserve"> a change in service unless Points of Receipt or Delivery are also changed.</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that multiple Points of Receipt (and multiple generating units) can be scheduled in a single “blockloaded” transmission request.</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At a minimum, the Commission should </w:t>
      </w:r>
      <w:r>
        <w:rPr>
          <w:b/>
          <w:bCs/>
          <w:sz w:val="24"/>
        </w:rPr>
        <w:t>reconsider</w:t>
      </w:r>
      <w:r>
        <w:rPr>
          <w:sz w:val="24"/>
        </w:rPr>
        <w:t xml:space="preserve"> and make provision of hourly firm service mandatory for Transmission Providers that purchase economy energy in hourly markets.</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clarify</w:t>
      </w:r>
      <w:r>
        <w:rPr>
          <w:sz w:val="24"/>
        </w:rPr>
        <w:t xml:space="preserve"> that customers should be able to request multiple receipt and delivery points in a single application for firm service.</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b/>
          <w:bCs/>
          <w:sz w:val="24"/>
        </w:rPr>
      </w:pPr>
      <w:r>
        <w:rPr>
          <w:b/>
          <w:bCs/>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b/>
          <w:bCs/>
          <w:sz w:val="24"/>
        </w:rPr>
      </w:pPr>
      <w:r>
        <w:rPr>
          <w:b/>
          <w:bCs/>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b/>
          <w:bCs/>
          <w:sz w:val="24"/>
        </w:rPr>
      </w:pPr>
      <w:r>
        <w:rPr>
          <w:b/>
          <w:bCs/>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b/>
          <w:bCs/>
          <w:sz w:val="24"/>
        </w:rPr>
        <w:t>Section 13.8</w:t>
      </w:r>
      <w:r>
        <w:rPr>
          <w:sz w:val="24"/>
        </w:rPr>
        <w:t xml:space="preserve"> -- Scheduling of Firm Point-to-Point Transmission Service</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reconsider</w:t>
      </w:r>
      <w:r>
        <w:rPr>
          <w:sz w:val="24"/>
        </w:rPr>
        <w:t xml:space="preserve"> and make scheduling deadlines consistent across the country.</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pPr>
      <w:r>
        <w:rPr>
          <w:sz w:val="24"/>
        </w:rPr>
        <w:t xml:space="preserve">The Commission should </w:t>
      </w:r>
      <w:r>
        <w:rPr>
          <w:b/>
          <w:bCs/>
          <w:sz w:val="24"/>
        </w:rPr>
        <w:t>reconsider</w:t>
      </w:r>
      <w:r>
        <w:rPr>
          <w:sz w:val="24"/>
        </w:rPr>
        <w:t xml:space="preserve"> and make the scheduling deadline noon, or later by mutual agreement.</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1440"/>
        <w:jc w:val="both"/>
        <w:rPr>
          <w:sz w:val="24"/>
        </w:rPr>
      </w:pPr>
      <w:r>
        <w:rPr>
          <w:sz w:val="24"/>
        </w:rPr>
      </w:r>
    </w:p>
    <w:p>
      <w:pPr>
        <w:sectPr>
          <w:footnotePr>
            <w:numFmt w:val="decimal"/>
          </w:footnotePr>
          <w:type w:val="continuous"/>
          <w:pgSz w:w="12240" w:h="15840"/>
          <w:pgMar w:left="2880" w:right="2880" w:gutter="0" w:header="1440" w:top="1496" w:footer="475" w:bottom="531"/>
          <w:formProt w:val="false"/>
          <w:textDirection w:val="lrTb"/>
          <w:docGrid w:type="default" w:linePitch="360" w:charSpace="0"/>
        </w:sectPr>
      </w:pP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customers can recall, schedule and reschedule reserved firm service on short notice past the normal day-ahead scheduling deadline to accommodate changes before the hour.</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14.2 -- Reservation Priority of Nonfirm Point-to-Point Transmission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ind w:hanging="360" w:start="360" w:end="0"/>
        <w:jc w:val="both"/>
        <w:rPr/>
      </w:pPr>
      <w:r>
        <w:rPr>
          <w:sz w:val="24"/>
        </w:rPr>
        <w:t xml:space="preserve">The Commission should </w:t>
      </w:r>
      <w:r>
        <w:rPr>
          <w:b/>
          <w:bCs/>
          <w:sz w:val="24"/>
        </w:rPr>
        <w:t>reconsider</w:t>
      </w:r>
      <w:r>
        <w:rPr>
          <w:sz w:val="24"/>
        </w:rPr>
        <w:t xml:space="preserve"> and eliminate reservations for day-ahead nonfirm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For other nonfirm service, the Commission should </w:t>
      </w:r>
      <w:r>
        <w:rPr>
          <w:b/>
          <w:bCs/>
          <w:sz w:val="24"/>
        </w:rPr>
        <w:t>reconsider</w:t>
      </w:r>
      <w:r>
        <w:rPr>
          <w:sz w:val="24"/>
        </w:rPr>
        <w:t xml:space="preserve"> and have the bid up process stop at some reasonable time before scheduling so that customers can count on owning secure transmission rights.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sz w:val="24"/>
        </w:rPr>
        <w:t xml:space="preserve">The Commission should </w:t>
      </w:r>
      <w:r>
        <w:rPr>
          <w:b/>
          <w:bCs/>
          <w:sz w:val="24"/>
        </w:rPr>
        <w:t>clarify</w:t>
      </w:r>
      <w:r>
        <w:rPr>
          <w:sz w:val="24"/>
        </w:rPr>
        <w:t xml:space="preserve"> that merely changing the source or sink for reserved service does not constitute a request for new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sz w:val="24"/>
        </w:rPr>
        <w:t xml:space="preserve">The Commission should </w:t>
      </w:r>
      <w:r>
        <w:rPr>
          <w:b/>
          <w:bCs/>
          <w:sz w:val="24"/>
        </w:rPr>
        <w:t>clarify</w:t>
      </w:r>
      <w:r>
        <w:rPr>
          <w:sz w:val="24"/>
        </w:rPr>
        <w:t xml:space="preserve"> that there is no payment for nonfirm service that is curtailed by </w:t>
      </w:r>
      <w:r>
        <w:rPr>
          <w:i/>
          <w:iCs/>
          <w:sz w:val="24"/>
        </w:rPr>
        <w:t xml:space="preserve">any </w:t>
      </w:r>
      <w:r>
        <w:rPr>
          <w:sz w:val="24"/>
        </w:rPr>
        <w:t>control area.</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14.3 -- Use of Nonfirm Point-to-Point Transmission Service by the Transmission Provider</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the Transmission Provider’s requests and schedules must be completely and timely disclosed on OASIS to ensure comparability.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14.5 -- Classification of Nonfirm Point-to-Point Transmission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a NERC tag is not required to reserve or schedule nonfirm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14.7 -- Curtailment or Interruption of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give nonfirm customers the right to make a timely, informed decision whether to avoid curtailment by paying redispatch costs that are posted and calculated in advance on OASIS as part of the service specifications.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make nonfirm service interruptible to accommodate a request for service of longer duration, but not simply at a higher price, once the bid-up process ends.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The Commission should</w:t>
      </w:r>
      <w:r>
        <w:rPr>
          <w:b/>
          <w:bCs/>
          <w:sz w:val="24"/>
        </w:rPr>
        <w:t xml:space="preserve"> reconsider and clarify</w:t>
      </w:r>
      <w:r>
        <w:rPr>
          <w:sz w:val="24"/>
        </w:rPr>
        <w:t xml:space="preserve"> so that transactions may be curtailed according to duration (shortest to longest), but not according to price, </w:t>
      </w:r>
      <w:r>
        <w:rPr>
          <w:i/>
          <w:iCs/>
          <w:sz w:val="24"/>
        </w:rPr>
        <w:t>only</w:t>
      </w:r>
      <w:r>
        <w:rPr>
          <w:sz w:val="24"/>
        </w:rPr>
        <w:t xml:space="preserve"> if they materially affect a constraint.  It is unacceptable, for example, arbitrarily to cut all hourly nonfirm.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15.2 -- Determination of Available Transmission Capacity</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have ATC calculated on a regional or super-regional basis by one or more </w:t>
      </w:r>
      <w:r>
        <w:rPr>
          <w:i/>
          <w:iCs/>
          <w:sz w:val="24"/>
        </w:rPr>
        <w:t>independent</w:t>
      </w:r>
      <w:r>
        <w:rPr>
          <w:sz w:val="24"/>
        </w:rPr>
        <w:t xml:space="preserve"> entities.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Alternatively, the Commission should </w:t>
      </w:r>
      <w:r>
        <w:rPr>
          <w:b/>
          <w:bCs/>
          <w:sz w:val="24"/>
        </w:rPr>
        <w:t>clarify</w:t>
      </w:r>
      <w:r>
        <w:rPr>
          <w:sz w:val="24"/>
        </w:rPr>
        <w:t xml:space="preserve"> that ATC supporting data must be easily accessible in a commercially reasonable format over OASIS for audit by customers and the Commission.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15.3 -- Initiating Service in the Absence of an Executed Service Agreement</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Subject to the terms of the tariff, the Commission should </w:t>
      </w:r>
      <w:r>
        <w:rPr>
          <w:b/>
          <w:bCs/>
          <w:sz w:val="24"/>
        </w:rPr>
        <w:t>clarify</w:t>
      </w:r>
      <w:r>
        <w:rPr>
          <w:sz w:val="24"/>
        </w:rPr>
        <w:t xml:space="preserve"> that a Commission-approved service agreement is not a prerequisite to initiating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15.7 -- Real Power Losses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calculation and accounting of Real Power Losses should be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t>standardized nationally.</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17.3 -- Deposit [Firm]</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not require a deposit once the Transmission Provider finds that the customer meets the creditworthiness standard of Section 11.</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17.4 -- Notice of Deficient Application [Firm]</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the Transmission Provider should respond to a deficient request  within no more than four hours.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17.5 -- Response to Completed Application [Firm]</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the Transmission Provider must respond to a conforming request for daily service as soon possible, but in no more than six hours.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make the procedures and response deadlines for short-term (</w:t>
      </w:r>
      <w:r>
        <w:rPr>
          <w:i/>
          <w:iCs/>
          <w:sz w:val="24"/>
        </w:rPr>
        <w:t>e.g</w:t>
      </w:r>
      <w:r>
        <w:rPr>
          <w:sz w:val="24"/>
        </w:rPr>
        <w:t>., hourly) firm service parallel to those for nonfirm service in Sections 18.1 to 18.4.</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18.2 -- Completed Application [Nonfirm]</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a NERC tag is not required.</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18.3 -- Reservation of Nonfirm Point-to-Point Transmission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If there is a reservation process, the Commission should </w:t>
      </w:r>
      <w:r>
        <w:rPr>
          <w:b/>
          <w:bCs/>
          <w:sz w:val="24"/>
        </w:rPr>
        <w:t>reconsider</w:t>
      </w:r>
      <w:r>
        <w:rPr>
          <w:sz w:val="24"/>
        </w:rPr>
        <w:t xml:space="preserve"> and eliminate the limit on how soon a customer can request service. Requests should be processed as soon as ATC is required to be posted on OASIS.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18.4 -- Determination of Available Transmission Capability</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allow transmission customers a window in which to respond to a determination of transmission capacity.  The customer’s response time should be at least </w:t>
      </w:r>
      <w:r>
        <w:rPr>
          <w:i/>
          <w:iCs/>
          <w:sz w:val="24"/>
        </w:rPr>
        <w:t>one-half</w:t>
      </w:r>
      <w:r>
        <w:rPr>
          <w:sz w:val="24"/>
        </w:rPr>
        <w:t xml:space="preserve"> of the </w:t>
      </w:r>
      <w:r>
        <w:rPr>
          <w:i/>
          <w:iCs/>
          <w:sz w:val="24"/>
        </w:rPr>
        <w:t>minimum</w:t>
      </w:r>
      <w:r>
        <w:rPr>
          <w:sz w:val="24"/>
        </w:rPr>
        <w:t xml:space="preserve"> time left before the commencement of service -- </w:t>
      </w:r>
      <w:r>
        <w:rPr>
          <w:i/>
          <w:iCs/>
          <w:sz w:val="24"/>
        </w:rPr>
        <w:t>e.g.</w:t>
      </w:r>
      <w:r>
        <w:rPr>
          <w:sz w:val="24"/>
        </w:rPr>
        <w:t>, 15 minutes for hourly and daily service (half of 30 minutes); two hours for weekly service; one day for monthly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“tendered schedule”; a Transmission Provider should not have a chance to reject an accepted schedule once it is too late for a customer to make other plans.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19 -- Additional Study Procedures for Firm Point-to-Point Transmission Service Requested</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have ATC calculated on a regional or super-regional basis by one or more </w:t>
      </w:r>
      <w:r>
        <w:rPr>
          <w:i/>
          <w:iCs/>
          <w:sz w:val="24"/>
        </w:rPr>
        <w:t>independent</w:t>
      </w:r>
      <w:r>
        <w:rPr>
          <w:sz w:val="24"/>
        </w:rPr>
        <w:t xml:space="preserve"> entities.</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firstLine="1440" w:start="-1440" w:end="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hanging="720" w:start="720" w:end="0"/>
        <w:jc w:val="both"/>
        <w:rPr/>
      </w:pPr>
      <w:r>
        <w:rPr>
          <w:rFonts w:cs="Symbol" w:ascii="Symbol" w:hAnsi="Symbol"/>
          <w:sz w:val="24"/>
        </w:rPr>
        <w:sym w:font="Symbol" w:char="f0b7"/>
      </w:r>
      <w:r>
        <w:rPr>
          <w:sz w:val="24"/>
        </w:rPr>
        <w:tab/>
        <w:t xml:space="preserve">The Commission should </w:t>
      </w:r>
      <w:r>
        <w:rPr>
          <w:b/>
          <w:bCs/>
          <w:sz w:val="24"/>
        </w:rPr>
        <w:t>clarify</w:t>
      </w:r>
      <w:r>
        <w:rPr>
          <w:sz w:val="24"/>
        </w:rPr>
        <w:t xml:space="preserve"> that a customer may require a Transmission Provider to perform a system impact study at the customer’s reasonable costs.  Additionally, the Transmission Provider should be required to provide a binding estimate of costs, or notify and get the consent of the customer before going over a specified cost cap.</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firstLine="720" w:start="-1440" w:end="0"/>
        <w:jc w:val="both"/>
        <w:rPr>
          <w:sz w:val="24"/>
        </w:rPr>
      </w:pPr>
      <w:r>
        <w:rPr>
          <w:sz w:val="24"/>
        </w:rPr>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hanging="720" w:start="720" w:end="0"/>
        <w:jc w:val="both"/>
        <w:rPr/>
      </w:pPr>
      <w:r>
        <w:rPr>
          <w:rFonts w:cs="Symbol" w:ascii="Symbol" w:hAnsi="Symbol"/>
          <w:sz w:val="24"/>
        </w:rPr>
        <w:sym w:font="Symbol" w:char="f0b7"/>
      </w:r>
      <w:r>
        <w:rPr>
          <w:sz w:val="24"/>
        </w:rPr>
        <w:tab/>
        <w:t xml:space="preserve">The Commission should </w:t>
      </w:r>
      <w:r>
        <w:rPr>
          <w:b/>
          <w:bCs/>
          <w:sz w:val="24"/>
        </w:rPr>
        <w:t>reconsider</w:t>
      </w:r>
      <w:r>
        <w:rPr>
          <w:sz w:val="24"/>
        </w:rPr>
        <w:t xml:space="preserve"> and make the deadlines for system studies regarding service for terms shorter than one year correspondingly shorter.  For example, one week is reasonable for a study of monthly service.</w:t>
      </w:r>
    </w:p>
    <w:p>
      <w:pPr>
        <w:pStyle w:val="Normal"/>
        <w:widowControl/>
        <w:tabs>
          <w:tab w:val="left" w:pos="-1440" w:leader="none"/>
          <w:tab w:val="left" w:pos="-1080" w:leader="none"/>
          <w:tab w:val="left" w:pos="-720" w:leader="none"/>
          <w:tab w:val="left" w:pos="-360" w:leader="none"/>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s>
        <w:ind w:start="-1440" w:end="0"/>
        <w:jc w:val="both"/>
        <w:rPr>
          <w:b/>
          <w:bCs/>
          <w:sz w:val="24"/>
        </w:rPr>
      </w:pPr>
      <w:r>
        <w:rPr>
          <w:b/>
          <w:bCs/>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 xml:space="preserve">Section 22 -- Changes in Service Specifications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merely changing the source or sink for reserved service does not constitute a request for new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a firm customer can change a receipt or delivery point on a </w:t>
      </w:r>
      <w:r>
        <w:rPr>
          <w:i/>
          <w:iCs/>
          <w:sz w:val="24"/>
        </w:rPr>
        <w:t>permanent</w:t>
      </w:r>
      <w:r>
        <w:rPr>
          <w:sz w:val="24"/>
        </w:rPr>
        <w:t xml:space="preserve"> basis, thereby maintaining its firm service priority so long as the requested change does not change the path over a congested interface.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Section 23 -- Sale or Assignment of Transmission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“Reseller’s opportunity cost.”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sectPr>
          <w:footnotePr>
            <w:numFmt w:val="decimal"/>
          </w:footnotePr>
          <w:type w:val="continuous"/>
          <w:pgSz w:w="12240" w:h="15840"/>
          <w:pgMar w:left="1440" w:right="1440" w:gutter="0" w:header="1440" w:top="1496" w:footer="475" w:bottom="531"/>
          <w:formProt w:val="false"/>
          <w:textDirection w:val="lrTb"/>
          <w:docGrid w:type="default" w:linePitch="360" w:charSpace="0"/>
        </w:sectPr>
      </w:pP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a Reseller may make a market in any subdivided transmission products or terms of service.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the Transmission Provider’s and Reseller’s duties flow from ordinary contract principles governing assignments.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Schedule 7 -- Long-Term Firm and Short-Term Firm Point-to-Point Transmission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make provision of hourly firm service mandatory for Transmission Providers that purchase economy energy in hourly markets.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 xml:space="preserve">Attachment A </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eliminate the deposit requirement for creditworthy customers (Section 3.0).</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an agreement to provide service is presumed unconditional and requires the Transmission Provider to arrange redispatch at its own expense if necessary.</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there is no charge in the event of curtailment for any reason (Section 5.0).</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add a liquidated damages clause for a Transmission Provider’s unreasonable failure to redispatch.</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b/>
          <w:bCs/>
          <w:sz w:val="24"/>
        </w:rPr>
        <w:t>Attachment B</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w:t>
      </w:r>
      <w:r>
        <w:rPr>
          <w:sz w:val="24"/>
        </w:rPr>
        <w:t xml:space="preserve"> and eliminate any take-or-pay liability for day-ahead nonfirm service.</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reconsider and clarify</w:t>
      </w:r>
      <w:r>
        <w:rPr>
          <w:sz w:val="24"/>
        </w:rPr>
        <w:t xml:space="preserve"> so that nonfirm customers have the right to make a timely, informed decision whether to avert potential curtailment by exercising an option to pay redispatch costs that are posted in advance on OASIS.</w:t>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sz w:val="24"/>
        </w:rPr>
      </w:pPr>
      <w:r>
        <w:rPr>
          <w:sz w:val="24"/>
        </w:rPr>
      </w:r>
    </w:p>
    <w:p>
      <w:pPr>
        <w:pStyle w:val="Normal"/>
        <w:widowControl/>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s>
        <w:jc w:val="both"/>
        <w:rPr/>
      </w:pPr>
      <w:r>
        <w:rPr>
          <w:sz w:val="24"/>
        </w:rPr>
        <w:t xml:space="preserve">The Commission should </w:t>
      </w:r>
      <w:r>
        <w:rPr>
          <w:b/>
          <w:bCs/>
          <w:sz w:val="24"/>
        </w:rPr>
        <w:t>clarify</w:t>
      </w:r>
      <w:r>
        <w:rPr>
          <w:sz w:val="24"/>
        </w:rPr>
        <w:t xml:space="preserve"> that a firm customer who is unable to schedule or does not submit a schedule will not incur an ancillary service scheduling charge.</w:t>
      </w:r>
    </w:p>
    <w:sectPr>
      <w:footnotePr>
        <w:numFmt w:val="decimal"/>
      </w:footnotePr>
      <w:type w:val="continuous"/>
      <w:pgSz w:w="12240" w:h="15840"/>
      <w:pgMar w:left="1440" w:right="1440" w:gutter="0" w:header="1440" w:top="1496" w:footer="475" w:bottom="531"/>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sz w:val="24"/>
        </w:rPr>
        <w:t xml:space="preserve">  </w:t>
      </w:r>
      <w:r>
        <w:rPr>
          <w:sz w:val="22"/>
          <w:szCs w:val="22"/>
        </w:rPr>
        <w:t>The Petitioners are composed of the organizations listed in App. A, hereto.</w:t>
      </w:r>
    </w:p>
  </w:footnote>
  <w:footnote w:id="3">
    <w:p>
      <w:pPr>
        <w:pStyle w:val="Normal"/>
        <w:spacing w:before="0" w:after="240"/>
        <w:jc w:val="both"/>
        <w:rPr/>
      </w:pPr>
      <w:r>
        <w:rPr>
          <w:rStyle w:val="FootnoteCharacters"/>
        </w:rPr>
        <w:footnoteRef/>
      </w:r>
      <w:r>
        <w:rPr>
          <w:sz w:val="24"/>
        </w:rPr>
        <w:t xml:space="preserve">  </w:t>
      </w:r>
      <w:r>
        <w:rPr>
          <w:sz w:val="22"/>
          <w:szCs w:val="22"/>
        </w:rPr>
        <w:t>In App. B, from the perspective of a new entrant in the power sales arena, we recount how unreliable ATC information and cumbersome access rules compound transaction costs and risks, and deter new market entry.</w:t>
      </w:r>
    </w:p>
  </w:footnote>
  <w:footnote w:id="4">
    <w:p>
      <w:pPr>
        <w:pStyle w:val="Normal"/>
        <w:spacing w:before="0" w:after="240"/>
        <w:jc w:val="both"/>
        <w:rPr/>
      </w:pPr>
      <w:r>
        <w:rPr>
          <w:rStyle w:val="FootnoteCharacters"/>
        </w:rPr>
        <w:footnoteRef/>
      </w:r>
      <w:r>
        <w:rPr>
          <w:sz w:val="24"/>
        </w:rPr>
        <w:t xml:space="preserve">  </w:t>
      </w:r>
      <w:r>
        <w:rPr>
          <w:sz w:val="22"/>
          <w:szCs w:val="22"/>
        </w:rPr>
        <w:t>All discussions in this petition pertaining to OASIS, particularly those in Section III B., should be read to include the full Standards of Conduct.</w:t>
      </w:r>
    </w:p>
  </w:footnote>
  <w:footnote w:id="5">
    <w:p>
      <w:pPr>
        <w:pStyle w:val="Normal"/>
        <w:spacing w:before="0" w:after="240"/>
        <w:jc w:val="both"/>
        <w:rPr/>
      </w:pPr>
      <w:r>
        <w:rPr>
          <w:rStyle w:val="FootnoteCharacters"/>
        </w:rPr>
        <w:footnoteRef/>
      </w:r>
      <w:r>
        <w:rPr>
          <w:sz w:val="24"/>
        </w:rPr>
        <w:t xml:space="preserve">  </w:t>
      </w:r>
      <w:r>
        <w:rPr>
          <w:sz w:val="22"/>
          <w:szCs w:val="22"/>
        </w:rPr>
        <w:t>In this petition, we use the term reliability in its ordinary sense, denoting both system security and system adequacy.</w:t>
      </w:r>
    </w:p>
  </w:footnote>
  <w:footnote w:id="6">
    <w:p>
      <w:pPr>
        <w:pStyle w:val="Normal"/>
        <w:jc w:val="both"/>
        <w:rPr/>
      </w:pPr>
      <w:r>
        <w:rPr>
          <w:rStyle w:val="FootnoteCharacters"/>
        </w:rPr>
        <w:footnoteRef/>
      </w:r>
      <w:r>
        <w:rPr>
          <w:sz w:val="24"/>
        </w:rPr>
        <w:t xml:space="preserve">  </w:t>
      </w:r>
      <w:r>
        <w:rPr>
          <w:i/>
          <w:iCs/>
          <w:sz w:val="22"/>
          <w:szCs w:val="22"/>
        </w:rPr>
        <w:t>Activity as of March 2, 1998</w:t>
      </w:r>
      <w:r>
        <w:rPr>
          <w:sz w:val="22"/>
          <w:szCs w:val="22"/>
        </w:rPr>
        <w:t xml:space="preserve"> (visited March 24, 1998) &lt;http://www.eia.doe.gov/cneaf/electricity/</w:t>
      </w:r>
    </w:p>
    <w:p>
      <w:pPr>
        <w:pStyle w:val="Normal"/>
        <w:spacing w:before="0" w:after="240"/>
        <w:jc w:val="both"/>
        <w:rPr/>
      </w:pPr>
      <w:r>
        <w:rPr>
          <w:sz w:val="22"/>
          <w:szCs w:val="22"/>
        </w:rPr>
        <w:t xml:space="preserve">chg_str/TAB5REV.html&gt;  U.S. Department of Energy, Energy Information Administration, </w:t>
      </w:r>
      <w:r>
        <w:rPr>
          <w:i/>
          <w:iCs/>
          <w:sz w:val="22"/>
          <w:szCs w:val="22"/>
        </w:rPr>
        <w:t>Status of State Electric Utility Deregulation</w:t>
      </w:r>
      <w:r>
        <w:rPr>
          <w:sz w:val="22"/>
          <w:szCs w:val="22"/>
        </w:rPr>
        <w:t>.</w:t>
      </w:r>
    </w:p>
  </w:footnote>
  <w:footnote w:id="7">
    <w:p>
      <w:pPr>
        <w:pStyle w:val="Normal"/>
        <w:spacing w:before="0" w:after="240"/>
        <w:jc w:val="both"/>
        <w:rPr/>
      </w:pPr>
      <w:r>
        <w:rPr>
          <w:rStyle w:val="FootnoteCharacters"/>
        </w:rPr>
        <w:footnoteRef/>
      </w:r>
      <w:r>
        <w:rPr>
          <w:sz w:val="24"/>
        </w:rPr>
        <w:t xml:space="preserve">  </w:t>
      </w:r>
      <w:r>
        <w:rPr>
          <w:sz w:val="22"/>
          <w:szCs w:val="22"/>
        </w:rPr>
        <w:t xml:space="preserve">Among those safeguards are the standards of conduct of Order No. 889 that are intended to ensure that transmission providers do not use their unique access to information unfairly to favor their own merchant functions or those of affiliates.  </w:t>
      </w:r>
      <w:r>
        <w:rPr>
          <w:i/>
          <w:iCs/>
          <w:sz w:val="22"/>
          <w:szCs w:val="22"/>
        </w:rPr>
        <w:t>See Open Access Same-Time Information System and Standards of Conduct, Order No. 889</w:t>
      </w:r>
      <w:r>
        <w:rPr>
          <w:sz w:val="22"/>
          <w:szCs w:val="22"/>
        </w:rPr>
        <w:t xml:space="preserve">,  [1991-96 Regs. Preambles] F.E.R.C. Stats. &amp; Regs. at 31,594 [hereinafter cited as </w:t>
      </w:r>
      <w:r>
        <w:rPr>
          <w:i/>
          <w:iCs/>
          <w:sz w:val="22"/>
          <w:szCs w:val="22"/>
        </w:rPr>
        <w:t>Order No. 889</w:t>
      </w:r>
      <w:r>
        <w:rPr>
          <w:sz w:val="22"/>
          <w:szCs w:val="22"/>
        </w:rPr>
        <w:t xml:space="preserve">].  These standards require the physical and informational separation  of transmission operations from a transmission provider’s wholesale merchant functions, but not from its retail merchant functions.  </w:t>
      </w:r>
      <w:r>
        <w:rPr>
          <w:i/>
          <w:iCs/>
          <w:sz w:val="22"/>
          <w:szCs w:val="22"/>
        </w:rPr>
        <w:t xml:space="preserve">See Order No. 889-A, </w:t>
      </w:r>
      <w:r>
        <w:rPr>
          <w:sz w:val="22"/>
          <w:szCs w:val="22"/>
        </w:rPr>
        <w:t>III F.E.R.C. Stats. &amp; Regs. at 30,552 (modifying 18 C.F.R. § 37.3(c) so that a utility purchase for its native load customers is not deemed a sale for resale subject to the standards of conduct).</w:t>
      </w:r>
    </w:p>
  </w:footnote>
  <w:footnote w:id="8">
    <w:p>
      <w:pPr>
        <w:pStyle w:val="Normal"/>
        <w:jc w:val="both"/>
        <w:rPr/>
      </w:pPr>
      <w:r>
        <w:rPr>
          <w:rStyle w:val="FootnoteCharacters"/>
        </w:rPr>
        <w:footnoteRef/>
      </w:r>
      <w:r>
        <w:rPr>
          <w:sz w:val="24"/>
        </w:rPr>
        <w:t xml:space="preserve">  </w:t>
      </w:r>
      <w:r>
        <w:rPr>
          <w:sz w:val="22"/>
          <w:szCs w:val="22"/>
        </w:rPr>
        <w:t>In a passage from Order No. 888 emphasized in the order on rehearing, the Commission further explained its reasoning:</w:t>
      </w:r>
    </w:p>
    <w:p>
      <w:pPr>
        <w:pStyle w:val="Normal"/>
        <w:ind w:start="1440" w:end="720"/>
        <w:jc w:val="both"/>
        <w:rPr/>
      </w:pPr>
      <w:r>
        <w:rPr>
          <w:sz w:val="22"/>
          <w:szCs w:val="22"/>
        </w:rPr>
        <w:t xml:space="preserve">when a retail transaction is broken into two products that are sold separately . . . we believe the jurisdictional lines change.  In this situation, the state clearly retains jurisdiction over the sale of the power.  However, the unbundled transmission service involves </w:t>
      </w:r>
      <w:r>
        <w:rPr>
          <w:i/>
          <w:iCs/>
          <w:sz w:val="22"/>
          <w:szCs w:val="22"/>
        </w:rPr>
        <w:t>only</w:t>
      </w:r>
      <w:r>
        <w:rPr>
          <w:sz w:val="22"/>
          <w:szCs w:val="22"/>
        </w:rPr>
        <w:t xml:space="preserve"> the provision of “transmission in interstate commerce” which, under the FPA, is exclusively within the jurisdiction of the Commission.  Therefore, when a bundled retail sale is unbundled and becomes separate transmission and power sales transactions, the resulting transmission transaction falls within the Federal sphere of regulation.</w:t>
      </w:r>
    </w:p>
    <w:p>
      <w:pPr>
        <w:pStyle w:val="Normal"/>
        <w:jc w:val="both"/>
        <w:rPr>
          <w:sz w:val="22"/>
          <w:szCs w:val="22"/>
        </w:rPr>
      </w:pPr>
      <w:r>
        <w:rPr>
          <w:sz w:val="22"/>
          <w:szCs w:val="22"/>
        </w:rPr>
      </w:r>
    </w:p>
    <w:p>
      <w:pPr>
        <w:pStyle w:val="Normal"/>
        <w:spacing w:before="0" w:after="240"/>
        <w:jc w:val="both"/>
        <w:rPr/>
      </w:pPr>
      <w:r>
        <w:rPr>
          <w:i/>
          <w:iCs/>
          <w:sz w:val="22"/>
          <w:szCs w:val="22"/>
        </w:rPr>
        <w:t>Order No. 888-A</w:t>
      </w:r>
      <w:r>
        <w:rPr>
          <w:sz w:val="22"/>
          <w:szCs w:val="22"/>
        </w:rPr>
        <w:t xml:space="preserve">, III F.E.R.C. Stats. &amp; Regs. at 30,225-26 (quoting </w:t>
      </w:r>
      <w:r>
        <w:rPr>
          <w:i/>
          <w:iCs/>
          <w:sz w:val="22"/>
          <w:szCs w:val="22"/>
        </w:rPr>
        <w:t xml:space="preserve"> Order No. 888</w:t>
      </w:r>
      <w:r>
        <w:rPr>
          <w:sz w:val="22"/>
          <w:szCs w:val="22"/>
        </w:rPr>
        <w:t>, 1991-96 Regs. Preambles] F.E.R.C. Stats. &amp; Regs. at 31,781).</w:t>
      </w:r>
    </w:p>
  </w:footnote>
  <w:footnote w:id="9">
    <w:p>
      <w:pPr>
        <w:pStyle w:val="Normal"/>
        <w:spacing w:before="0" w:after="240"/>
        <w:jc w:val="both"/>
        <w:rPr/>
      </w:pPr>
      <w:r>
        <w:rPr>
          <w:rStyle w:val="FootnoteCharacters"/>
        </w:rPr>
        <w:footnoteRef/>
      </w:r>
      <w:r>
        <w:rPr>
          <w:sz w:val="24"/>
        </w:rPr>
        <w:t xml:space="preserve">  </w:t>
      </w:r>
      <w:r>
        <w:rPr>
          <w:sz w:val="22"/>
          <w:szCs w:val="22"/>
        </w:rPr>
        <w:t xml:space="preserve">Investor-owned utilities (“IOUs”) sold a total of 2,805,677,000 kwH of electricity in 1996.  </w:t>
      </w:r>
      <w:r>
        <w:rPr>
          <w:i/>
          <w:iCs/>
          <w:sz w:val="22"/>
          <w:szCs w:val="22"/>
        </w:rPr>
        <w:t>EEI Statistical Yearbook,</w:t>
      </w:r>
      <w:r>
        <w:rPr>
          <w:sz w:val="22"/>
          <w:szCs w:val="22"/>
        </w:rPr>
        <w:t xml:space="preserve"> 41 tbl.39 (1996).  Of this total, IOUs sold 2,335,683,000 kwH to ultimate consumers and sold 469,994,000 kwH for resale to non-IOUs.  </w:t>
      </w:r>
      <w:r>
        <w:rPr>
          <w:i/>
          <w:iCs/>
          <w:sz w:val="22"/>
          <w:szCs w:val="22"/>
        </w:rPr>
        <w:t>Id.</w:t>
      </w:r>
      <w:r>
        <w:rPr>
          <w:sz w:val="22"/>
          <w:szCs w:val="22"/>
        </w:rPr>
        <w:t xml:space="preserve">  The 470 million kwH sold for resale (about 16.7 percent of total IOU sales) is an inflated number, however, because it includes repeat sales of the same power.  Thus, the total amount of electricity sales in the wholesale power market constitutes, at most, less than 16.7 percent of total IOU annual electricity sales, but is likely far smaller given the fact that this percentage includes multiple sales of the same electric energy.</w:t>
      </w:r>
    </w:p>
  </w:footnote>
  <w:footnote w:id="10">
    <w:p>
      <w:pPr>
        <w:pStyle w:val="Normal"/>
        <w:spacing w:before="0" w:after="240"/>
        <w:jc w:val="both"/>
        <w:rPr/>
      </w:pPr>
      <w:r>
        <w:rPr>
          <w:rStyle w:val="FootnoteCharacters"/>
        </w:rPr>
        <w:footnoteRef/>
      </w:r>
      <w:r>
        <w:rPr>
          <w:sz w:val="24"/>
        </w:rPr>
        <w:t xml:space="preserve">  </w:t>
      </w:r>
      <w:r>
        <w:rPr>
          <w:i/>
          <w:iCs/>
          <w:sz w:val="22"/>
          <w:szCs w:val="22"/>
        </w:rPr>
        <w:t>See infra</w:t>
      </w:r>
      <w:r>
        <w:rPr>
          <w:sz w:val="22"/>
          <w:szCs w:val="22"/>
        </w:rPr>
        <w:t xml:space="preserve"> Part VI.</w:t>
      </w:r>
    </w:p>
  </w:footnote>
  <w:footnote w:id="11">
    <w:p>
      <w:pPr>
        <w:pStyle w:val="Normal"/>
        <w:spacing w:before="0" w:after="240"/>
        <w:ind w:start="-1440" w:end="-1440"/>
        <w:jc w:val="both"/>
        <w:rPr/>
      </w:pPr>
      <w:r>
        <w:rPr>
          <w:rStyle w:val="FootnoteCharacters"/>
        </w:rPr>
        <w:footnoteRef/>
      </w:r>
      <w:r>
        <w:rPr>
          <w:sz w:val="24"/>
        </w:rPr>
        <w:t xml:space="preserve">  </w:t>
      </w:r>
      <w:r>
        <w:rPr>
          <w:i/>
          <w:iCs/>
          <w:sz w:val="22"/>
          <w:szCs w:val="22"/>
        </w:rPr>
        <w:t>Comments of the Staff of the Bureau of Economics of the Federal Trade Commission</w:t>
      </w:r>
      <w:r>
        <w:rPr>
          <w:sz w:val="22"/>
          <w:szCs w:val="22"/>
        </w:rPr>
        <w:t xml:space="preserve"> at 3</w:t>
      </w:r>
      <w:r>
        <w:rPr>
          <w:i/>
          <w:iCs/>
          <w:sz w:val="22"/>
          <w:szCs w:val="22"/>
        </w:rPr>
        <w:t>, Order No. 888</w:t>
      </w:r>
      <w:r>
        <w:rPr>
          <w:sz w:val="22"/>
          <w:szCs w:val="22"/>
        </w:rPr>
        <w:t xml:space="preserve">, Docket Nos., RM95-8-000, </w:t>
      </w:r>
      <w:r>
        <w:rPr>
          <w:i/>
          <w:iCs/>
          <w:sz w:val="22"/>
          <w:szCs w:val="22"/>
        </w:rPr>
        <w:t xml:space="preserve">et al. </w:t>
      </w:r>
      <w:r>
        <w:rPr>
          <w:sz w:val="22"/>
          <w:szCs w:val="22"/>
        </w:rPr>
        <w:t xml:space="preserve">(filed Aug. 7, 1995) [hereinafter cited as </w:t>
      </w:r>
      <w:r>
        <w:rPr>
          <w:i/>
          <w:iCs/>
          <w:sz w:val="22"/>
          <w:szCs w:val="22"/>
        </w:rPr>
        <w:t>BE/FTC Comments]</w:t>
      </w:r>
      <w:r>
        <w:rPr>
          <w:sz w:val="22"/>
          <w:szCs w:val="22"/>
        </w:rPr>
        <w:t xml:space="preserve">; </w:t>
      </w:r>
      <w:r>
        <w:rPr>
          <w:i/>
          <w:iCs/>
          <w:sz w:val="22"/>
          <w:szCs w:val="22"/>
        </w:rPr>
        <w:t xml:space="preserve">see also Comments of the Staff of the Bureau of Economics of the Federal Trade Commission, New England Power Pool, </w:t>
      </w:r>
      <w:r>
        <w:rPr>
          <w:sz w:val="22"/>
          <w:szCs w:val="22"/>
        </w:rPr>
        <w:t xml:space="preserve">Docket Nos. ER97-237, </w:t>
      </w:r>
      <w:r>
        <w:rPr>
          <w:i/>
          <w:iCs/>
          <w:sz w:val="22"/>
          <w:szCs w:val="22"/>
        </w:rPr>
        <w:t xml:space="preserve">et al. </w:t>
      </w:r>
      <w:r>
        <w:rPr>
          <w:sz w:val="22"/>
          <w:szCs w:val="22"/>
        </w:rPr>
        <w:t>(filed Feb. 6, 1998) (arguing in favor of structural separation of generation and transmission and against exclusive reliance on behavioral rules to detect and police market power in connection with market-based sales in the restructure NEPOOL).</w:t>
      </w:r>
    </w:p>
  </w:footnote>
  <w:footnote w:id="12">
    <w:p>
      <w:pPr>
        <w:pStyle w:val="Normal"/>
        <w:spacing w:before="0" w:after="240"/>
        <w:ind w:start="-1440" w:end="-1440"/>
        <w:jc w:val="both"/>
        <w:rPr/>
      </w:pPr>
      <w:r>
        <w:rPr>
          <w:rStyle w:val="FootnoteCharacters"/>
        </w:rPr>
        <w:footnoteRef/>
      </w:r>
      <w:r>
        <w:rPr>
          <w:sz w:val="24"/>
        </w:rPr>
        <w:t xml:space="preserve">  </w:t>
      </w:r>
      <w:r>
        <w:rPr>
          <w:sz w:val="22"/>
          <w:szCs w:val="22"/>
        </w:rPr>
        <w:t xml:space="preserve">Among the reasons that the BE/FTC has consistently favored structural over behavioral solutions is that discrimination highly detrimental to competition can be subtle and therefore difficult to detect. “Discrimination could appear as a subtle reduction in quality of service, whose effects would be more difficult to identify and measure than outright denial of access.”  </w:t>
      </w:r>
      <w:r>
        <w:rPr>
          <w:i/>
          <w:iCs/>
          <w:sz w:val="22"/>
          <w:szCs w:val="22"/>
        </w:rPr>
        <w:t xml:space="preserve">BE/FTC Comments, supra </w:t>
      </w:r>
      <w:r>
        <w:rPr>
          <w:sz w:val="22"/>
          <w:szCs w:val="22"/>
        </w:rPr>
        <w:t>note 8, at 6.</w:t>
      </w:r>
    </w:p>
  </w:footnote>
  <w:footnote w:id="13">
    <w:p>
      <w:pPr>
        <w:pStyle w:val="Normal"/>
        <w:spacing w:before="0" w:after="240"/>
        <w:jc w:val="both"/>
        <w:rPr/>
      </w:pPr>
      <w:r>
        <w:rPr>
          <w:rStyle w:val="FootnoteCharacters"/>
        </w:rPr>
        <w:footnoteRef/>
      </w:r>
      <w:r>
        <w:rPr>
          <w:sz w:val="24"/>
        </w:rPr>
        <w:t xml:space="preserve">  </w:t>
      </w:r>
      <w:r>
        <w:rPr>
          <w:sz w:val="22"/>
          <w:szCs w:val="22"/>
        </w:rPr>
        <w:t>Petitioners acknowledge the positive proposal to transform NERC into NAERO.  The proposed NAERO, with reasonably balanced representation and voting, could play a valuable role in adapting reliable systems operations to the needs of a restructured marketplace.</w:t>
      </w:r>
    </w:p>
  </w:footnote>
  <w:footnote w:id="14">
    <w:p>
      <w:pPr>
        <w:pStyle w:val="Normal"/>
        <w:spacing w:before="0" w:after="240"/>
        <w:jc w:val="both"/>
        <w:rPr/>
      </w:pPr>
      <w:r>
        <w:rPr>
          <w:rStyle w:val="FootnoteCharacters"/>
        </w:rPr>
        <w:footnoteRef/>
      </w:r>
      <w:r>
        <w:rPr>
          <w:sz w:val="24"/>
        </w:rPr>
        <w:t xml:space="preserve">  </w:t>
      </w:r>
      <w:r>
        <w:rPr>
          <w:sz w:val="22"/>
          <w:szCs w:val="22"/>
        </w:rPr>
        <w:t>The need to balance and coordinate systems operations requirements and commercial markets flexibility is emphasized in a recent Interim Report of the Secretary of Energy Advisory Board, Task Force on Electric System Reliability.  The Interim Report is attached as App. C, hereto.</w:t>
      </w:r>
    </w:p>
  </w:footnote>
  <w:footnote w:id="15">
    <w:p>
      <w:pPr>
        <w:pStyle w:val="Normal"/>
        <w:spacing w:before="0" w:after="240"/>
        <w:jc w:val="both"/>
        <w:rPr/>
      </w:pPr>
      <w:r>
        <w:rPr>
          <w:rStyle w:val="FootnoteCharacters"/>
        </w:rPr>
        <w:footnoteRef/>
      </w:r>
      <w:r>
        <w:rPr>
          <w:sz w:val="24"/>
        </w:rPr>
        <w:t xml:space="preserve">  </w:t>
      </w:r>
      <w:r>
        <w:rPr>
          <w:sz w:val="22"/>
          <w:szCs w:val="22"/>
        </w:rPr>
        <w:t>As we explain in Part II, the Commission’s limited assertion of jurisdiction in Order No. 888 has the similar effect of conferring on state regulators and individual transmission providers the power to define the scope of the Commission’s jurisdiction over transmission and its ability to reach undue discrimination.</w:t>
      </w:r>
    </w:p>
  </w:footnote>
  <w:footnote w:id="16">
    <w:p>
      <w:pPr>
        <w:pStyle w:val="Normal"/>
        <w:spacing w:before="0" w:after="240"/>
        <w:jc w:val="both"/>
        <w:rPr/>
      </w:pPr>
      <w:r>
        <w:rPr>
          <w:rStyle w:val="FootnoteCharacters"/>
        </w:rPr>
        <w:footnoteRef/>
      </w:r>
      <w:r>
        <w:rPr>
          <w:sz w:val="24"/>
        </w:rPr>
        <w:t xml:space="preserve"> </w:t>
      </w:r>
      <w:r>
        <w:rPr>
          <w:rFonts w:cs="Times New Roman" w:ascii="Times New Roman" w:hAnsi="Times New Roman"/>
          <w:sz w:val="24"/>
        </w:rPr>
        <w:t xml:space="preserve"> </w:t>
      </w:r>
      <w:r>
        <w:rPr>
          <w:rFonts w:cs="Times New Roman" w:ascii="Times New Roman" w:hAnsi="Times New Roman"/>
          <w:i/>
          <w:iCs/>
          <w:sz w:val="22"/>
          <w:szCs w:val="22"/>
        </w:rPr>
        <w:t>See supra</w:t>
      </w:r>
      <w:r>
        <w:rPr>
          <w:rFonts w:cs="Times New Roman" w:ascii="Times New Roman" w:hAnsi="Times New Roman"/>
          <w:sz w:val="22"/>
          <w:szCs w:val="22"/>
        </w:rPr>
        <w:t xml:space="preserve"> note 7.</w:t>
      </w:r>
    </w:p>
  </w:footnote>
  <w:footnote w:id="17">
    <w:p>
      <w:pPr>
        <w:pStyle w:val="Normal"/>
        <w:spacing w:before="0" w:after="240"/>
        <w:jc w:val="both"/>
        <w:rPr/>
      </w:pPr>
      <w:r>
        <w:rPr>
          <w:rStyle w:val="FootnoteCharacters"/>
        </w:rPr>
        <w:footnoteRef/>
      </w:r>
      <w:r>
        <w:rPr>
          <w:sz w:val="24"/>
        </w:rPr>
        <w:t xml:space="preserve"> </w:t>
      </w:r>
      <w:r>
        <w:rPr>
          <w:sz w:val="22"/>
          <w:szCs w:val="22"/>
        </w:rPr>
        <w:t xml:space="preserve"> </w:t>
      </w:r>
      <w:r>
        <w:rPr>
          <w:rFonts w:cs="Times New Roman" w:ascii="Times New Roman" w:hAnsi="Times New Roman"/>
          <w:sz w:val="22"/>
          <w:szCs w:val="22"/>
        </w:rPr>
        <w:t>The “transmission of electric energy in interstate commerce” is defined in the FPA as electric energy “transmitted in interstate commerce if transmitted from a State and consumed at any point outside thereof; but only insofar as such transmission takes place within the United States.”  16 U.S.C. § 824(c).</w:t>
      </w:r>
    </w:p>
  </w:footnote>
  <w:footnote w:id="18">
    <w:p>
      <w:pPr>
        <w:pStyle w:val="Normal"/>
        <w:spacing w:before="0" w:after="240"/>
        <w:jc w:val="both"/>
        <w:rPr/>
      </w:pPr>
      <w:r>
        <w:rPr>
          <w:rStyle w:val="FootnoteCharacters"/>
        </w:rPr>
        <w:footnoteRef/>
      </w:r>
      <w:r>
        <w:rPr>
          <w:sz w:val="24"/>
        </w:rPr>
        <w:t xml:space="preserve">  </w:t>
      </w:r>
      <w:r>
        <w:rPr>
          <w:sz w:val="22"/>
          <w:szCs w:val="22"/>
        </w:rPr>
        <w:t xml:space="preserve">The remainder of App. G. to Order No. 888 is devoted to the second limitation and the determination of </w:t>
      </w:r>
      <w:r>
        <w:rPr>
          <w:rFonts w:cs="Times New Roman" w:ascii="Times New Roman" w:hAnsi="Times New Roman"/>
          <w:sz w:val="22"/>
          <w:szCs w:val="22"/>
        </w:rPr>
        <w:t>where to draw the jurisdictional boundary between unbundled transmission and local distribution.</w:t>
      </w:r>
    </w:p>
  </w:footnote>
  <w:footnote w:id="19">
    <w:p>
      <w:pPr>
        <w:pStyle w:val="Normal"/>
        <w:spacing w:before="0" w:after="240"/>
        <w:jc w:val="both"/>
        <w:rPr/>
      </w:pPr>
      <w:r>
        <w:rPr>
          <w:rStyle w:val="FootnoteCharacters"/>
        </w:rPr>
        <w:footnoteRef/>
      </w:r>
      <w:r>
        <w:rPr>
          <w:sz w:val="24"/>
        </w:rPr>
        <w:t xml:space="preserve"> </w:t>
      </w:r>
      <w:r>
        <w:rPr>
          <w:sz w:val="22"/>
          <w:szCs w:val="22"/>
        </w:rPr>
        <w:t xml:space="preserve"> </w:t>
      </w:r>
      <w:r>
        <w:rPr>
          <w:sz w:val="22"/>
          <w:szCs w:val="22"/>
        </w:rPr>
        <w:t xml:space="preserve">Indeed, any such reading of </w:t>
      </w:r>
      <w:r>
        <w:rPr>
          <w:i/>
          <w:iCs/>
          <w:sz w:val="22"/>
          <w:szCs w:val="22"/>
        </w:rPr>
        <w:t>United Distribution Cos.</w:t>
      </w:r>
      <w:r>
        <w:rPr>
          <w:sz w:val="22"/>
          <w:szCs w:val="22"/>
        </w:rPr>
        <w:t xml:space="preserve"> would be at war with the court’s holding in </w:t>
      </w:r>
      <w:r>
        <w:rPr>
          <w:i/>
          <w:iCs/>
          <w:sz w:val="22"/>
          <w:szCs w:val="22"/>
        </w:rPr>
        <w:t>Mississippi River Transmission Corp. v. FERC,</w:t>
      </w:r>
      <w:r>
        <w:rPr>
          <w:sz w:val="22"/>
          <w:szCs w:val="22"/>
        </w:rPr>
        <w:t xml:space="preserve"> 969 F.2d 1215 (D.C. Cir. 1992), discussed </w:t>
      </w:r>
      <w:r>
        <w:rPr>
          <w:i/>
          <w:iCs/>
          <w:sz w:val="22"/>
          <w:szCs w:val="22"/>
        </w:rPr>
        <w:t>supra</w:t>
      </w:r>
      <w:r>
        <w:rPr>
          <w:sz w:val="22"/>
          <w:szCs w:val="22"/>
        </w:rPr>
        <w:t xml:space="preserve"> Part I. B.</w:t>
      </w:r>
    </w:p>
  </w:footnote>
  <w:footnote w:id="20">
    <w:p>
      <w:pPr>
        <w:pStyle w:val="Normal"/>
        <w:spacing w:before="0" w:after="240"/>
        <w:jc w:val="both"/>
        <w:rPr/>
      </w:pPr>
      <w:r>
        <w:rPr>
          <w:rStyle w:val="FootnoteCharacters"/>
        </w:rPr>
        <w:footnoteRef/>
      </w:r>
      <w:r>
        <w:rPr>
          <w:sz w:val="24"/>
        </w:rPr>
        <w:t xml:space="preserve">  </w:t>
      </w:r>
      <w:r>
        <w:rPr>
          <w:sz w:val="22"/>
          <w:szCs w:val="22"/>
        </w:rPr>
        <w:t>As explained in the examples in App. D, sometimes this valuable capacity across strategic interfaces is characterized as a capacity benefit margin and withheld by transmission owners from posting on OASIS and is not offered to potential competitors.</w:t>
      </w:r>
    </w:p>
  </w:footnote>
  <w:footnote w:id="21">
    <w:p>
      <w:pPr>
        <w:pStyle w:val="Normal"/>
        <w:spacing w:before="0" w:after="240"/>
        <w:jc w:val="both"/>
        <w:rPr/>
      </w:pPr>
      <w:r>
        <w:rPr>
          <w:rStyle w:val="FootnoteCharacters"/>
        </w:rPr>
        <w:footnoteRef/>
      </w:r>
      <w:r>
        <w:rPr>
          <w:sz w:val="24"/>
        </w:rPr>
        <w:t xml:space="preserve">  </w:t>
      </w:r>
      <w:r>
        <w:rPr>
          <w:sz w:val="22"/>
          <w:szCs w:val="22"/>
        </w:rPr>
        <w:t>We are not here advocating the abrogation or modification of pre-existing bilateral transmission agreements, which we believe should remain in effect according to their terms.</w:t>
      </w:r>
    </w:p>
  </w:footnote>
  <w:footnote w:id="22">
    <w:p>
      <w:pPr>
        <w:pStyle w:val="Normal"/>
        <w:spacing w:before="0" w:after="240"/>
        <w:jc w:val="both"/>
        <w:rPr/>
      </w:pPr>
      <w:r>
        <w:rPr>
          <w:rStyle w:val="FootnoteCharacters"/>
        </w:rPr>
        <w:footnoteRef/>
      </w:r>
      <w:r>
        <w:rPr>
          <w:sz w:val="24"/>
        </w:rPr>
        <w:t xml:space="preserve">  </w:t>
      </w:r>
      <w:r>
        <w:rPr>
          <w:sz w:val="22"/>
          <w:szCs w:val="22"/>
        </w:rPr>
        <w:t>Outside of system peak, a seller with responsibilities for serving loads could reasonably look to the liquid secondary market to obtain any shortfall between the reservations that it holds (equal to coincident peak) and any higher non-coincident peak requirements.</w:t>
      </w:r>
    </w:p>
  </w:footnote>
  <w:footnote w:id="23">
    <w:p>
      <w:pPr>
        <w:pStyle w:val="Normal"/>
        <w:spacing w:before="0" w:after="240"/>
        <w:jc w:val="both"/>
        <w:rPr/>
      </w:pPr>
      <w:r>
        <w:rPr>
          <w:rStyle w:val="FootnoteCharacters"/>
        </w:rPr>
        <w:footnoteRef/>
      </w:r>
      <w:r>
        <w:rPr>
          <w:sz w:val="24"/>
        </w:rPr>
        <w:t xml:space="preserve">  </w:t>
      </w:r>
      <w:r>
        <w:rPr>
          <w:rFonts w:cs="Times New Roman" w:ascii="Times New Roman" w:hAnsi="Times New Roman"/>
          <w:sz w:val="22"/>
          <w:szCs w:val="22"/>
        </w:rPr>
        <w:t>In addition, in the CRT NOPR, the Commission pointed out that placing all customers on the same basis removes incentives customers may have to switch between services in order to avoid paying stranded costs.</w:t>
      </w:r>
    </w:p>
  </w:footnote>
  <w:footnote w:id="24">
    <w:p>
      <w:pPr>
        <w:pStyle w:val="Normal"/>
        <w:spacing w:before="0" w:after="240"/>
        <w:jc w:val="both"/>
        <w:rPr/>
      </w:pPr>
      <w:r>
        <w:rPr>
          <w:rStyle w:val="FootnoteCharacters"/>
        </w:rPr>
        <w:footnoteRef/>
      </w:r>
      <w:r>
        <w:rPr>
          <w:sz w:val="24"/>
        </w:rPr>
        <w:t xml:space="preserve">  </w:t>
      </w:r>
      <w:r>
        <w:rPr>
          <w:sz w:val="22"/>
          <w:szCs w:val="22"/>
        </w:rPr>
        <w:t>Customers wishing  to reserve additional rights, beyond those on currently constraining interfaces, would be free to do so, for example, in the expectation that an interface may become constraining in the future.</w:t>
      </w:r>
    </w:p>
  </w:footnote>
  <w:footnote w:id="25">
    <w:p>
      <w:pPr>
        <w:pStyle w:val="Normal"/>
        <w:jc w:val="both"/>
        <w:rPr/>
      </w:pPr>
      <w:r>
        <w:rPr>
          <w:rStyle w:val="FootnoteCharacters"/>
        </w:rPr>
        <w:footnoteRef/>
      </w:r>
      <w:r>
        <w:rPr>
          <w:sz w:val="24"/>
        </w:rPr>
        <w:t xml:space="preserve">  </w:t>
      </w:r>
      <w:r>
        <w:rPr>
          <w:sz w:val="22"/>
          <w:szCs w:val="22"/>
        </w:rPr>
        <w:t xml:space="preserve">Concurring in the </w:t>
      </w:r>
      <w:r>
        <w:rPr>
          <w:i/>
          <w:iCs/>
          <w:sz w:val="22"/>
          <w:szCs w:val="22"/>
        </w:rPr>
        <w:t xml:space="preserve">Florida Power </w:t>
      </w:r>
      <w:r>
        <w:rPr>
          <w:sz w:val="22"/>
          <w:szCs w:val="22"/>
        </w:rPr>
        <w:t>decision, Chairman Hoecker explained that his reservation over introducing the NCD service in FPC’s service territory lay not in the merits of the reservation-based service, but rather in the fact that it risked introducing potential inconsistencies in service offerings.</w:t>
      </w:r>
    </w:p>
    <w:p>
      <w:pPr>
        <w:pStyle w:val="Normal"/>
        <w:jc w:val="both"/>
        <w:rPr>
          <w:sz w:val="22"/>
          <w:szCs w:val="22"/>
        </w:rPr>
      </w:pPr>
      <w:r>
        <w:rPr>
          <w:sz w:val="22"/>
          <w:szCs w:val="22"/>
        </w:rPr>
      </w:r>
    </w:p>
    <w:p>
      <w:pPr>
        <w:pStyle w:val="Normal"/>
        <w:ind w:start="1440" w:end="1440"/>
        <w:jc w:val="both"/>
        <w:rPr/>
      </w:pPr>
      <w:r>
        <w:rPr>
          <w:sz w:val="22"/>
          <w:szCs w:val="22"/>
        </w:rPr>
        <w:t xml:space="preserve">In my view, tariff innovations like FPC’s can be constructive.  Nevertheless, the most important future gains in efficiency and non-discriminatory access for the benefit of customers lie not in tweaking tariff provisions on a utility-specific basis, but instead in establishing mechanisms that expand the wholesale market and give customers better choices and more efficient transmission prices </w:t>
      </w:r>
      <w:r>
        <w:rPr>
          <w:i/>
          <w:iCs/>
          <w:sz w:val="22"/>
          <w:szCs w:val="22"/>
        </w:rPr>
        <w:t>across entire regions. . . . A regional approach . . . would be more useful in the quest for real competitive solutions.</w:t>
      </w:r>
      <w:r>
        <w:rPr>
          <w:sz w:val="22"/>
          <w:szCs w:val="22"/>
        </w:rPr>
        <w:t xml:space="preserve"> </w:t>
      </w:r>
    </w:p>
    <w:p>
      <w:pPr>
        <w:pStyle w:val="Normal"/>
        <w:jc w:val="both"/>
        <w:rPr>
          <w:sz w:val="22"/>
          <w:szCs w:val="22"/>
        </w:rPr>
      </w:pPr>
      <w:r>
        <w:rPr>
          <w:sz w:val="22"/>
          <w:szCs w:val="22"/>
        </w:rPr>
      </w:r>
    </w:p>
    <w:p>
      <w:pPr>
        <w:pStyle w:val="Normal"/>
        <w:spacing w:before="0" w:after="240"/>
        <w:jc w:val="both"/>
        <w:rPr/>
      </w:pPr>
      <w:r>
        <w:rPr>
          <w:i/>
          <w:iCs/>
          <w:sz w:val="22"/>
          <w:szCs w:val="22"/>
        </w:rPr>
        <w:t>Florida Power Corp.</w:t>
      </w:r>
      <w:r>
        <w:rPr>
          <w:sz w:val="22"/>
          <w:szCs w:val="22"/>
        </w:rPr>
        <w:t>, 81 F.E.R.C. at 62,068-69 (emphasis added) (Hoecker, Chr., concurring).  Petitioners share this commitment to regional solutions.</w:t>
      </w:r>
    </w:p>
  </w:footnote>
  <w:footnote w:id="26">
    <w:p>
      <w:pPr>
        <w:pStyle w:val="Normal"/>
        <w:spacing w:before="0" w:after="240"/>
        <w:jc w:val="both"/>
        <w:rPr/>
      </w:pPr>
      <w:r>
        <w:rPr>
          <w:rStyle w:val="FootnoteCharacters"/>
        </w:rPr>
        <w:footnoteRef/>
      </w:r>
      <w:r>
        <w:rPr>
          <w:sz w:val="24"/>
        </w:rPr>
        <w:t xml:space="preserve">  </w:t>
      </w:r>
      <w:r>
        <w:rPr>
          <w:sz w:val="22"/>
          <w:szCs w:val="22"/>
        </w:rPr>
        <w:t>Numerous examples of poor OASIS performance were brought to the Commission staff’s attention during the July 18, 1997, technical conference on the performance of OASIS.  Following the conference, specific representative examples of inaccurate ATC postings were provided to and verified by the Commission’s Enforcement Task Force, although we are not aware of any enforcement action taken against the offending transmission providers.  These representative examples, together with many other OASIS problems are recounted in App. D.</w:t>
      </w:r>
    </w:p>
  </w:footnote>
  <w:footnote w:id="27">
    <w:p>
      <w:pPr>
        <w:pStyle w:val="Normal"/>
        <w:spacing w:before="0" w:after="240"/>
        <w:jc w:val="both"/>
        <w:rPr/>
      </w:pPr>
      <w:r>
        <w:rPr>
          <w:rStyle w:val="FootnoteCharacters"/>
        </w:rPr>
        <w:footnoteRef/>
      </w:r>
      <w:r>
        <w:rPr>
          <w:sz w:val="24"/>
        </w:rPr>
        <w:t xml:space="preserve">  </w:t>
      </w:r>
      <w:r>
        <w:rPr>
          <w:i/>
          <w:iCs/>
          <w:sz w:val="22"/>
          <w:szCs w:val="22"/>
        </w:rPr>
        <w:t xml:space="preserve">See </w:t>
      </w:r>
      <w:r>
        <w:rPr>
          <w:sz w:val="22"/>
          <w:szCs w:val="22"/>
        </w:rPr>
        <w:t>10/31/97 Working Groups Report on OASIS at 38-40 (noting that “providers tend to think of ATC as more of an index of availability, rather than an absolute number” and that “[a]ggregation of ATC on a monthly or yearly basis . . . on OASIS may hide the true profile of available capacity during the period, since the posting is usually the minimum for the period”).</w:t>
      </w:r>
    </w:p>
  </w:footnote>
  <w:footnote w:id="28">
    <w:p>
      <w:pPr>
        <w:pStyle w:val="Normal"/>
        <w:spacing w:before="0" w:after="240"/>
        <w:jc w:val="both"/>
        <w:rPr/>
      </w:pPr>
      <w:r>
        <w:rPr>
          <w:rStyle w:val="FootnoteCharacters"/>
        </w:rPr>
        <w:footnoteRef/>
      </w:r>
      <w:r>
        <w:rPr>
          <w:sz w:val="24"/>
        </w:rPr>
        <w:t xml:space="preserve">  </w:t>
      </w:r>
      <w:r>
        <w:rPr>
          <w:i/>
          <w:iCs/>
          <w:sz w:val="22"/>
          <w:szCs w:val="22"/>
        </w:rPr>
        <w:t>See</w:t>
      </w:r>
      <w:r>
        <w:rPr>
          <w:sz w:val="22"/>
          <w:szCs w:val="22"/>
        </w:rPr>
        <w:t xml:space="preserve"> </w:t>
      </w:r>
      <w:r>
        <w:rPr>
          <w:i/>
          <w:iCs/>
          <w:sz w:val="22"/>
          <w:szCs w:val="22"/>
        </w:rPr>
        <w:t>Order No. 888</w:t>
      </w:r>
      <w:r>
        <w:rPr>
          <w:sz w:val="22"/>
          <w:szCs w:val="22"/>
        </w:rPr>
        <w:t xml:space="preserve">, [1991-96 Regs. Preambles] F.E.R.C. Stats. &amp; Regs. at 31,700-01 (“In the case of a public utility buying or selling at wholesale, the public utility must take service under the same tariff under which other wholesale sellers and buyers take service.”); </w:t>
      </w:r>
      <w:r>
        <w:rPr>
          <w:i/>
          <w:iCs/>
          <w:sz w:val="22"/>
          <w:szCs w:val="22"/>
        </w:rPr>
        <w:t>id.</w:t>
      </w:r>
      <w:r>
        <w:rPr>
          <w:sz w:val="22"/>
          <w:szCs w:val="22"/>
        </w:rPr>
        <w:t xml:space="preserve"> at 31,722 (“[A]mong the things required by functional unbundling is that the utility, when buying or selling power, rely upon the same electronic network that its transmission customers rely upon to obtain transmission information.”); </w:t>
      </w:r>
      <w:r>
        <w:rPr>
          <w:i/>
          <w:iCs/>
          <w:sz w:val="22"/>
          <w:szCs w:val="22"/>
        </w:rPr>
        <w:t>Order No. 889</w:t>
      </w:r>
      <w:r>
        <w:rPr>
          <w:sz w:val="22"/>
          <w:szCs w:val="22"/>
        </w:rPr>
        <w:t xml:space="preserve">, [1991-96 Regs. Preambles] F.E.R.C. Stats. &amp; Regs. at 31,610 (“Section 37.6(e) [of the open access regulations] requires that all requests by customers for transmission service that the Transmission Provider offers under the </w:t>
      </w:r>
      <w:r>
        <w:rPr>
          <w:i/>
          <w:iCs/>
          <w:sz w:val="22"/>
          <w:szCs w:val="22"/>
        </w:rPr>
        <w:t>pro forma</w:t>
      </w:r>
      <w:r>
        <w:rPr>
          <w:sz w:val="22"/>
          <w:szCs w:val="22"/>
        </w:rPr>
        <w:t xml:space="preserve"> tariff must be made on the OASIS.”); Order No. 889-A, III F.E.R.C. Stats. &amp; Regs. at 30,567 (“All transactions for transmission service, agreed  to between a Transmission Provider and a customer, regardless of whether they involve a discount or not, must be posted at the time ATC must be adjusted in response to the transaction.”); </w:t>
      </w:r>
      <w:r>
        <w:rPr>
          <w:i/>
          <w:iCs/>
          <w:sz w:val="22"/>
          <w:szCs w:val="22"/>
        </w:rPr>
        <w:t>see also Pro Forma</w:t>
      </w:r>
      <w:r>
        <w:rPr>
          <w:sz w:val="22"/>
          <w:szCs w:val="22"/>
        </w:rPr>
        <w:t xml:space="preserve"> Tariff § 1.11 (defining “Eligible Customer” as “including the Transmission Provider”).</w:t>
      </w:r>
    </w:p>
  </w:footnote>
  <w:footnote w:id="29">
    <w:p>
      <w:pPr>
        <w:pStyle w:val="Normal"/>
        <w:spacing w:before="0" w:after="240"/>
        <w:jc w:val="both"/>
        <w:rPr/>
      </w:pPr>
      <w:r>
        <w:rPr>
          <w:rStyle w:val="FootnoteCharacters"/>
        </w:rPr>
        <w:footnoteRef/>
      </w:r>
      <w:r>
        <w:rPr>
          <w:sz w:val="24"/>
        </w:rPr>
        <w:t xml:space="preserve">  </w:t>
      </w:r>
      <w:r>
        <w:rPr>
          <w:sz w:val="22"/>
          <w:szCs w:val="22"/>
        </w:rPr>
        <w:t xml:space="preserve">A number of examples of inaccurate ATC postings and shoddy maintenance of ATC information are recounted in App. D. </w:t>
      </w:r>
    </w:p>
  </w:footnote>
  <w:footnote w:id="30">
    <w:p>
      <w:pPr>
        <w:pStyle w:val="Normal"/>
        <w:spacing w:before="0" w:after="240"/>
        <w:jc w:val="both"/>
        <w:rPr/>
      </w:pPr>
      <w:r>
        <w:rPr>
          <w:rStyle w:val="FootnoteCharacters"/>
        </w:rPr>
        <w:footnoteRef/>
      </w:r>
      <w:r>
        <w:rPr>
          <w:sz w:val="24"/>
        </w:rPr>
        <w:t xml:space="preserve">  </w:t>
      </w:r>
      <w:r>
        <w:rPr>
          <w:sz w:val="22"/>
          <w:szCs w:val="22"/>
        </w:rPr>
        <w:t>We urge the Commission to look skeptically at proposals to promulgate new rules and regulations either to permit or require interactive scheduling and pricing/discounting on the OASIS.  If there is demand for such services on-line, OASIS or other vendors will meet the need.</w:t>
      </w:r>
    </w:p>
  </w:footnote>
  <w:footnote w:id="31">
    <w:p>
      <w:pPr>
        <w:pStyle w:val="Normal"/>
        <w:spacing w:before="0" w:after="240"/>
        <w:jc w:val="both"/>
        <w:rPr/>
      </w:pPr>
      <w:r>
        <w:rPr>
          <w:rStyle w:val="FootnoteCharacters"/>
        </w:rPr>
        <w:footnoteRef/>
      </w:r>
      <w:r>
        <w:rPr>
          <w:sz w:val="24"/>
        </w:rPr>
        <w:t xml:space="preserve">  </w:t>
      </w:r>
      <w:r>
        <w:rPr>
          <w:rFonts w:cs="Times New Roman" w:ascii="Times New Roman" w:hAnsi="Times New Roman"/>
          <w:sz w:val="22"/>
          <w:szCs w:val="22"/>
        </w:rPr>
        <w:t>In order to make OASIS work, the Commission also needs to re-evaluate the information system in the context of operational unbundling of transmission systems and consolidation of transmission providers and control areas.  Responsibility for operating an OASIS node should be transferred to the regional entity charged with operating the transmission system.  The latter should be tasked with maintaining complete, accurate and timely information on ATC and price, as well as a prompt and user-friendly method for confirming reservations.</w:t>
      </w:r>
    </w:p>
  </w:footnote>
  <w:footnote w:id="32">
    <w:p>
      <w:pPr>
        <w:pStyle w:val="Normal"/>
        <w:spacing w:before="0" w:after="240"/>
        <w:jc w:val="both"/>
        <w:rPr/>
      </w:pPr>
      <w:r>
        <w:rPr>
          <w:rStyle w:val="FootnoteCharacters"/>
        </w:rPr>
        <w:footnoteRef/>
      </w:r>
      <w:r>
        <w:rPr>
          <w:sz w:val="24"/>
        </w:rPr>
        <w:t xml:space="preserve"> </w:t>
      </w:r>
      <w:r>
        <w:rPr>
          <w:sz w:val="22"/>
          <w:szCs w:val="22"/>
        </w:rPr>
        <w:t xml:space="preserve"> </w:t>
      </w:r>
      <w:r>
        <w:rPr>
          <w:sz w:val="22"/>
          <w:szCs w:val="22"/>
        </w:rPr>
        <w:t xml:space="preserve">Section 1.11 of the </w:t>
      </w:r>
      <w:r>
        <w:rPr>
          <w:i/>
          <w:iCs/>
          <w:sz w:val="22"/>
          <w:szCs w:val="22"/>
        </w:rPr>
        <w:t xml:space="preserve">pro forma </w:t>
      </w:r>
      <w:r>
        <w:rPr>
          <w:sz w:val="22"/>
          <w:szCs w:val="22"/>
        </w:rPr>
        <w:t xml:space="preserve">tariff and 18 C.F.R. §  37.6 (1997) direct transmission operators to post on OASIS point-to-point transactions entered into on behalf of wholesale native load (or for both wholesale and retail native load).  The OASIS posting requirements for network integration service and for transmission for retail captive load, on the other hand, are less clear.  As noted earlier, the Commission determined in Order No. 889-A that it has no jurisdiction to impose the tariff or functional unbundling because “[w]hen a utility purchases power for its retail native load customers, this is not a sale for resale.  In contrast, when a utility purchases power for its wholesale native load, the transmission of purchased power to the wholesale customer is really part of a transaction that includes a wholesale sale to a third party.”  </w:t>
      </w:r>
      <w:r>
        <w:rPr>
          <w:i/>
          <w:iCs/>
          <w:sz w:val="22"/>
          <w:szCs w:val="22"/>
        </w:rPr>
        <w:t>Order No. 889-A,</w:t>
      </w:r>
      <w:r>
        <w:rPr>
          <w:sz w:val="22"/>
          <w:szCs w:val="22"/>
        </w:rPr>
        <w:t xml:space="preserve"> III F.E.R.C. Stats. &amp; Regs. at 30,552.  Nowhere, however, does the Commission expressly explain whether transmission operators must post on OASIS transactions for transmission to captive load.</w:t>
      </w:r>
    </w:p>
  </w:footnote>
  <w:footnote w:id="33">
    <w:p>
      <w:pPr>
        <w:pStyle w:val="Normal"/>
        <w:spacing w:before="0" w:after="240"/>
        <w:jc w:val="both"/>
        <w:rPr/>
      </w:pPr>
      <w:r>
        <w:rPr>
          <w:rStyle w:val="FootnoteCharacters"/>
        </w:rPr>
        <w:footnoteRef/>
      </w:r>
      <w:r>
        <w:rPr>
          <w:sz w:val="24"/>
        </w:rPr>
        <w:t xml:space="preserve"> </w:t>
      </w:r>
      <w:r>
        <w:rPr>
          <w:sz w:val="22"/>
          <w:szCs w:val="22"/>
        </w:rPr>
        <w:t xml:space="preserve"> </w:t>
      </w:r>
      <w:r>
        <w:rPr>
          <w:rFonts w:cs="Times New Roman" w:ascii="Times New Roman" w:hAnsi="Times New Roman"/>
          <w:sz w:val="22"/>
          <w:szCs w:val="22"/>
        </w:rPr>
        <w:t>By “TransCo,” we mean an independent, regulated, company charged with operating a regional transmission system. Broader than an ISO, it is a privately held, performance-regulated enterprise, with responsibility for transmission investment as well as operation. The TransCo concept is employed in the United Kingdom and we list it here for inclusiveness to indicate it as a plausible variation on the conventional notion of an ISO. Throughout this document, whenever we refer to the concept of a regional operating entity or ISO, by definition we mean the concept of an operator in the broader sense, which would include a TransCo as well</w:t>
      </w:r>
      <w:r>
        <w:rPr>
          <w:sz w:val="22"/>
          <w:szCs w:val="22"/>
        </w:rPr>
        <w:t>.</w:t>
      </w:r>
    </w:p>
  </w:footnote>
  <w:footnote w:id="34">
    <w:p>
      <w:pPr>
        <w:pStyle w:val="Normal"/>
        <w:spacing w:before="0" w:after="240"/>
        <w:jc w:val="both"/>
        <w:rPr/>
      </w:pPr>
      <w:r>
        <w:rPr>
          <w:rStyle w:val="FootnoteCharacters"/>
        </w:rPr>
        <w:footnoteRef/>
      </w:r>
      <w:r>
        <w:rPr>
          <w:sz w:val="24"/>
        </w:rPr>
        <w:t xml:space="preserve"> </w:t>
      </w:r>
      <w:r>
        <w:rPr>
          <w:sz w:val="22"/>
          <w:szCs w:val="22"/>
        </w:rPr>
        <w:t xml:space="preserve"> </w:t>
      </w:r>
      <w:r>
        <w:rPr>
          <w:sz w:val="22"/>
          <w:szCs w:val="22"/>
        </w:rPr>
        <w:t xml:space="preserve">Illustrative is the Mid-Continent Area Power Pool (“MAPP”).  It operates the OASIS node for the MAPP utilities and makes ATC determinations based on information provided to it by the member utilities.  MAPP also directs curtailments and other interruptions to manage line loading.  At the same time, however, MAPP does not take responsibility for the accuracy of reported ATCs and has absolutely no ability to change the dispatch of resources to manage line loading without interrupting entire transactions, which it regularly does.  We are informed by the MAPP operator that the average efficiency of this form of managing line loading through curtailing transactions can be as low as approximately 10 percent -- that is, for every 10 units of a curtailed transaction only 1 unit of line-loading relief is achieved.  Similarly, at a recent Southwest Power Pool ISO technical conference it was recognized that many transactions were being curtailed that could have been reliably maintained at lesser cost through generation redispatch. </w:t>
      </w:r>
    </w:p>
  </w:footnote>
  <w:footnote w:id="35">
    <w:p>
      <w:pPr>
        <w:pStyle w:val="Normal"/>
        <w:spacing w:before="0" w:after="240"/>
        <w:jc w:val="both"/>
        <w:rPr/>
      </w:pPr>
      <w:r>
        <w:rPr>
          <w:rStyle w:val="FootnoteCharacters"/>
        </w:rPr>
        <w:footnoteRef/>
      </w:r>
      <w:r>
        <w:rPr>
          <w:sz w:val="24"/>
        </w:rPr>
        <w:t xml:space="preserve">  </w:t>
      </w:r>
      <w:r>
        <w:rPr>
          <w:sz w:val="22"/>
          <w:szCs w:val="22"/>
        </w:rPr>
        <w:t>A system operator can more efficiently assure reliability by contracting with generators for redispatch, purchasing call contracts on generation that allow for redispatch, or contracting for load shaving by customers.</w:t>
      </w:r>
    </w:p>
  </w:footnote>
  <w:footnote w:id="36">
    <w:p>
      <w:pPr>
        <w:pStyle w:val="Normal"/>
        <w:spacing w:before="0" w:after="240"/>
        <w:jc w:val="both"/>
        <w:rPr/>
      </w:pPr>
      <w:r>
        <w:rPr>
          <w:rStyle w:val="FootnoteCharacters"/>
        </w:rPr>
        <w:footnoteRef/>
      </w:r>
      <w:r>
        <w:rPr>
          <w:sz w:val="24"/>
        </w:rPr>
        <w:t xml:space="preserve"> </w:t>
      </w:r>
      <w:r>
        <w:rPr>
          <w:i/>
          <w:iCs/>
          <w:sz w:val="22"/>
          <w:szCs w:val="22"/>
        </w:rPr>
        <w:t xml:space="preserve"> </w:t>
      </w:r>
      <w:r>
        <w:rPr>
          <w:i/>
          <w:iCs/>
          <w:sz w:val="22"/>
          <w:szCs w:val="22"/>
        </w:rPr>
        <w:t>E.g., CINergy Services, Inc.,</w:t>
      </w:r>
      <w:r>
        <w:rPr>
          <w:sz w:val="22"/>
          <w:szCs w:val="22"/>
        </w:rPr>
        <w:t xml:space="preserve"> Docket No.  ER94-1637; </w:t>
      </w:r>
      <w:r>
        <w:rPr>
          <w:i/>
          <w:iCs/>
          <w:sz w:val="22"/>
          <w:szCs w:val="22"/>
        </w:rPr>
        <w:t xml:space="preserve">MidAmerican Energy Co., </w:t>
      </w:r>
      <w:r>
        <w:rPr>
          <w:sz w:val="22"/>
          <w:szCs w:val="22"/>
        </w:rPr>
        <w:t xml:space="preserve">Docket No. ER95-188; </w:t>
      </w:r>
      <w:r>
        <w:rPr>
          <w:i/>
          <w:iCs/>
          <w:sz w:val="22"/>
          <w:szCs w:val="22"/>
        </w:rPr>
        <w:t xml:space="preserve">Entergy Services, Inc., </w:t>
      </w:r>
      <w:r>
        <w:rPr>
          <w:sz w:val="22"/>
          <w:szCs w:val="22"/>
        </w:rPr>
        <w:t>Docket No. ER95-112.</w:t>
      </w:r>
    </w:p>
  </w:footnote>
  <w:footnote w:id="37">
    <w:p>
      <w:pPr>
        <w:pStyle w:val="Normal"/>
        <w:spacing w:before="0" w:after="240"/>
        <w:jc w:val="both"/>
        <w:rPr/>
      </w:pPr>
      <w:r>
        <w:rPr>
          <w:rStyle w:val="FootnoteCharacters"/>
        </w:rPr>
        <w:footnoteRef/>
      </w:r>
      <w:r>
        <w:rPr>
          <w:sz w:val="24"/>
        </w:rPr>
        <w:t xml:space="preserve">  </w:t>
      </w:r>
      <w:r>
        <w:rPr>
          <w:sz w:val="22"/>
          <w:szCs w:val="22"/>
        </w:rPr>
        <w:t xml:space="preserve">Batch scheduling in this flexible fashion would be facilitated by a unitary reservation-based transmission service, as advocated </w:t>
      </w:r>
      <w:r>
        <w:rPr>
          <w:i/>
          <w:iCs/>
          <w:sz w:val="22"/>
          <w:szCs w:val="22"/>
        </w:rPr>
        <w:t xml:space="preserve">supra </w:t>
      </w:r>
      <w:r>
        <w:rPr>
          <w:sz w:val="22"/>
          <w:szCs w:val="22"/>
        </w:rPr>
        <w:t>Part III.A.  As part of the scheduling of batched transactions, the transmission customer would simply be required to demonstrate to the transmission system operation that it held sufficient reservations across the interfaces separating the receipt and delivery points of the batched transactions.</w:t>
      </w:r>
    </w:p>
  </w:footnote>
  <w:footnote w:id="38">
    <w:p>
      <w:pPr>
        <w:pStyle w:val="Normal"/>
        <w:spacing w:before="0" w:after="240"/>
        <w:jc w:val="both"/>
        <w:rPr/>
      </w:pPr>
      <w:r>
        <w:rPr>
          <w:rStyle w:val="FootnoteCharacters"/>
        </w:rPr>
        <w:footnoteRef/>
      </w:r>
      <w:r>
        <w:rPr>
          <w:sz w:val="24"/>
        </w:rPr>
        <w:t xml:space="preserve"> </w:t>
      </w:r>
      <w:r>
        <w:rPr>
          <w:sz w:val="22"/>
          <w:szCs w:val="22"/>
        </w:rPr>
        <w:t xml:space="preserve"> </w:t>
      </w:r>
      <w:r>
        <w:rPr>
          <w:sz w:val="22"/>
          <w:szCs w:val="22"/>
        </w:rPr>
        <w:t>It may be advisable for the Commission to undertake this initiative in connection with the recently filed Petition of State Public Utility and Public Service Commissions for Technical Conference or Regional  Hearing in Docket No. PL98-5.  Among the issues that the State authorities have asked the Commission to investigate with them are the elimination of “[i]nappropriate borders between or among highly interconnected ISOs and/or transmission entities . . . .”  Petitioners support the States’ request and urge the Commission to act promptly on their call for either a technical conference or regional hearings.</w:t>
      </w:r>
    </w:p>
  </w:footnote>
  <w:footnote w:id="39">
    <w:p>
      <w:pPr>
        <w:pStyle w:val="Normal"/>
        <w:spacing w:before="0" w:after="240"/>
        <w:jc w:val="both"/>
        <w:rPr/>
      </w:pPr>
      <w:r>
        <w:rPr>
          <w:rStyle w:val="FootnoteCharacters"/>
        </w:rPr>
        <w:footnoteRef/>
      </w:r>
      <w:r>
        <w:rPr>
          <w:sz w:val="24"/>
        </w:rPr>
        <w:t xml:space="preserve">  </w:t>
      </w:r>
      <w:r>
        <w:rPr>
          <w:sz w:val="22"/>
          <w:szCs w:val="22"/>
        </w:rPr>
        <w:t xml:space="preserve">The tagging procedures recently developed by NERC and its utility members are discussed further in Part V, </w:t>
      </w:r>
      <w:r>
        <w:rPr>
          <w:i/>
          <w:iCs/>
          <w:sz w:val="22"/>
          <w:szCs w:val="22"/>
        </w:rPr>
        <w:t>infra.</w:t>
      </w:r>
    </w:p>
  </w:footnote>
  <w:footnote w:id="40">
    <w:p>
      <w:pPr>
        <w:pStyle w:val="Normal"/>
        <w:spacing w:before="0" w:after="240"/>
        <w:jc w:val="both"/>
        <w:rPr/>
      </w:pPr>
      <w:r>
        <w:rPr>
          <w:rStyle w:val="FootnoteCharacters"/>
        </w:rPr>
        <w:footnoteRef/>
      </w:r>
      <w:r>
        <w:rPr>
          <w:sz w:val="24"/>
        </w:rPr>
        <w:t xml:space="preserve">  </w:t>
      </w:r>
      <w:r>
        <w:rPr>
          <w:sz w:val="22"/>
          <w:szCs w:val="22"/>
        </w:rPr>
        <w:t xml:space="preserve">These rules can be coordinated with the efforts of the NERC in developing “recommendations and a timetable for implementing formal, coordinated regional and interregional security processes.”  </w:t>
      </w:r>
      <w:r>
        <w:rPr>
          <w:i/>
          <w:iCs/>
          <w:sz w:val="22"/>
          <w:szCs w:val="22"/>
        </w:rPr>
        <w:t xml:space="preserve">See </w:t>
      </w:r>
      <w:r>
        <w:rPr>
          <w:sz w:val="22"/>
          <w:szCs w:val="22"/>
        </w:rPr>
        <w:t xml:space="preserve"> NERC, </w:t>
      </w:r>
      <w:r>
        <w:rPr>
          <w:i/>
          <w:iCs/>
          <w:sz w:val="22"/>
          <w:szCs w:val="22"/>
        </w:rPr>
        <w:t>Reliability Assessment 1996-2005</w:t>
      </w:r>
      <w:r>
        <w:rPr>
          <w:sz w:val="22"/>
          <w:szCs w:val="22"/>
        </w:rPr>
        <w:t>, p.5 (Oct. 1996).</w:t>
      </w:r>
    </w:p>
  </w:footnote>
  <w:footnote w:id="41">
    <w:p>
      <w:pPr>
        <w:pStyle w:val="Normal"/>
        <w:spacing w:before="0" w:after="240"/>
        <w:jc w:val="both"/>
        <w:rPr/>
      </w:pPr>
      <w:r>
        <w:rPr>
          <w:rStyle w:val="FootnoteCharacters"/>
        </w:rPr>
        <w:footnoteRef/>
      </w:r>
      <w:r>
        <w:rPr>
          <w:sz w:val="24"/>
        </w:rPr>
        <w:t xml:space="preserve"> </w:t>
      </w:r>
      <w:r>
        <w:rPr>
          <w:rFonts w:cs="Times New Roman" w:ascii="Times New Roman" w:hAnsi="Times New Roman"/>
          <w:sz w:val="24"/>
        </w:rPr>
        <w:t xml:space="preserve"> </w:t>
      </w:r>
      <w:r>
        <w:rPr>
          <w:rFonts w:cs="Times New Roman" w:ascii="Times New Roman" w:hAnsi="Times New Roman"/>
          <w:sz w:val="22"/>
          <w:szCs w:val="22"/>
        </w:rPr>
        <w:t>It is the penultimate trader in the chain that is responsible for tagging under Policy 3.  Often this is a utility-affiliated marketer.  It has been the experience of many of us that, while the transmission provider may insist on tagging, the affiliated marketer will refuse to comply, and the party selling to the affiliated marketer must assume the burden of tagging or forego a transaction.  These experiences underscore the confusion and inconsistency that results when extra-tariff, non-Commission-approved terms and conditions are imposed on transmission access.</w:t>
      </w:r>
    </w:p>
  </w:footnote>
  <w:footnote w:id="42">
    <w:p>
      <w:pPr>
        <w:pStyle w:val="Normal"/>
        <w:spacing w:before="0" w:after="240"/>
        <w:jc w:val="both"/>
        <w:rPr/>
      </w:pPr>
      <w:r>
        <w:rPr>
          <w:rStyle w:val="FootnoteCharacters"/>
        </w:rPr>
        <w:footnoteRef/>
      </w:r>
      <w:r>
        <w:rPr>
          <w:sz w:val="24"/>
        </w:rPr>
        <w:t xml:space="preserve">  </w:t>
      </w:r>
      <w:r>
        <w:rPr>
          <w:sz w:val="22"/>
          <w:szCs w:val="22"/>
        </w:rPr>
        <w:t xml:space="preserve">10/31/97 Working Groups Report on OASIS at 39 [hereinafter cited as </w:t>
      </w:r>
      <w:r>
        <w:rPr>
          <w:i/>
          <w:iCs/>
          <w:sz w:val="22"/>
          <w:szCs w:val="22"/>
        </w:rPr>
        <w:t>10/31/97 WGR on OASIS</w:t>
      </w:r>
      <w:r>
        <w:rPr>
          <w:sz w:val="22"/>
          <w:szCs w:val="22"/>
        </w:rPr>
        <w:t xml:space="preserve">]; </w:t>
      </w:r>
      <w:r>
        <w:rPr>
          <w:i/>
          <w:iCs/>
          <w:sz w:val="22"/>
          <w:szCs w:val="22"/>
        </w:rPr>
        <w:t>see also</w:t>
      </w:r>
      <w:r>
        <w:rPr>
          <w:sz w:val="22"/>
          <w:szCs w:val="22"/>
        </w:rPr>
        <w:t xml:space="preserve"> NERC, </w:t>
      </w:r>
      <w:r>
        <w:rPr>
          <w:i/>
          <w:iCs/>
          <w:sz w:val="22"/>
          <w:szCs w:val="22"/>
        </w:rPr>
        <w:t>Available Transfer Capability Definitions and Determination</w:t>
      </w:r>
      <w:r>
        <w:rPr>
          <w:sz w:val="22"/>
          <w:szCs w:val="22"/>
        </w:rPr>
        <w:t xml:space="preserve"> 28 (June 1996) (“To . . . properly appraise the performance of tightly interconnected networks to support contemplated transfer (i.e., what is the ATC), a regional or wide-area approach must be considered so that all network conditions are properly taken into account.”), </w:t>
      </w:r>
      <w:r>
        <w:rPr>
          <w:i/>
          <w:iCs/>
          <w:sz w:val="22"/>
          <w:szCs w:val="22"/>
        </w:rPr>
        <w:t>available at</w:t>
      </w:r>
      <w:r>
        <w:rPr>
          <w:sz w:val="22"/>
          <w:szCs w:val="22"/>
        </w:rPr>
        <w:t xml:space="preserve"> www.nerc.com.</w:t>
      </w:r>
    </w:p>
  </w:footnote>
  <w:footnote w:id="43">
    <w:p>
      <w:pPr>
        <w:pStyle w:val="Normal"/>
        <w:spacing w:before="0" w:after="240"/>
        <w:jc w:val="both"/>
        <w:rPr/>
      </w:pPr>
      <w:r>
        <w:rPr>
          <w:rStyle w:val="FootnoteCharacters"/>
        </w:rPr>
        <w:footnoteRef/>
      </w:r>
      <w:r>
        <w:rPr>
          <w:sz w:val="24"/>
        </w:rPr>
        <w:t xml:space="preserve"> </w:t>
      </w:r>
      <w:r>
        <w:rPr>
          <w:sz w:val="22"/>
          <w:szCs w:val="22"/>
        </w:rPr>
        <w:t xml:space="preserve"> </w:t>
      </w:r>
      <w:r>
        <w:rPr>
          <w:rFonts w:cs="Times New Roman" w:ascii="Times New Roman" w:hAnsi="Times New Roman"/>
          <w:sz w:val="22"/>
          <w:szCs w:val="22"/>
        </w:rPr>
        <w:t>The independent ATC monitor would be appointed by the Commission and be responsible for reporting ATC evaluations to the Commission on a regular basis. Such an entity or entities could come ostensibly from one of several sources: (1) an existing national organization or subgroup of a national organization, properly structured so as to prevent market sector dominance; (2) an independent ATC monitoring Board, not affiliated with any current entity; or (3) representatives from Commission-sanctioned regional system operating entities.</w:t>
      </w:r>
    </w:p>
  </w:footnote>
  <w:footnote w:id="44">
    <w:p>
      <w:pPr>
        <w:pStyle w:val="Normal"/>
        <w:spacing w:before="0" w:after="240"/>
        <w:jc w:val="both"/>
        <w:rPr/>
      </w:pPr>
      <w:r>
        <w:rPr>
          <w:rStyle w:val="FootnoteCharacters"/>
        </w:rPr>
        <w:footnoteRef/>
      </w:r>
      <w:r>
        <w:rPr>
          <w:sz w:val="24"/>
        </w:rPr>
        <w:t xml:space="preserve"> </w:t>
      </w:r>
      <w:r>
        <w:rPr>
          <w:sz w:val="22"/>
          <w:szCs w:val="22"/>
        </w:rPr>
        <w:t xml:space="preserve"> </w:t>
      </w:r>
      <w:r>
        <w:rPr>
          <w:i/>
          <w:iCs/>
          <w:sz w:val="22"/>
          <w:szCs w:val="22"/>
        </w:rPr>
        <w:t>See, e.g.,</w:t>
      </w:r>
      <w:r>
        <w:rPr>
          <w:sz w:val="22"/>
          <w:szCs w:val="22"/>
        </w:rPr>
        <w:t xml:space="preserve"> </w:t>
      </w:r>
      <w:r>
        <w:rPr>
          <w:i/>
          <w:iCs/>
          <w:sz w:val="22"/>
          <w:szCs w:val="22"/>
        </w:rPr>
        <w:t>10/31/97 WGR on OASIS</w:t>
      </w:r>
      <w:r>
        <w:rPr>
          <w:sz w:val="22"/>
          <w:szCs w:val="22"/>
        </w:rPr>
        <w:t xml:space="preserve"> </w:t>
      </w:r>
      <w:r>
        <w:rPr>
          <w:i/>
          <w:iCs/>
          <w:sz w:val="22"/>
          <w:szCs w:val="22"/>
        </w:rPr>
        <w:t>supra</w:t>
      </w:r>
      <w:r>
        <w:rPr>
          <w:sz w:val="22"/>
          <w:szCs w:val="22"/>
        </w:rPr>
        <w:t xml:space="preserve"> note 39 at 27-28.</w:t>
      </w:r>
    </w:p>
  </w:footnote>
  <w:footnote w:id="45">
    <w:p>
      <w:pPr>
        <w:pStyle w:val="Normal"/>
        <w:spacing w:before="0" w:after="240"/>
        <w:jc w:val="both"/>
        <w:rPr/>
      </w:pPr>
      <w:r>
        <w:rPr>
          <w:rStyle w:val="FootnoteCharacters"/>
        </w:rPr>
        <w:footnoteRef/>
      </w:r>
      <w:r>
        <w:rPr>
          <w:sz w:val="24"/>
        </w:rPr>
        <w:t xml:space="preserve">  </w:t>
      </w:r>
      <w:r>
        <w:rPr>
          <w:sz w:val="22"/>
          <w:szCs w:val="22"/>
        </w:rPr>
        <w:t>Posting of opportunity costs is indicated by the Commission’s directive that recovery of redispatch costs requires that the transmission providers develop and make available to all customers a “redispatch protocol” together with all information necessary “to calculate redispatch costs.”  Order No. 888, [1991-96 Regs. Preambles] F.E.R.C. at 31,740.  Order No. 888 only required that opportunity costs be ascertainable for audit.  On reconsideration, we urge the Commission to require that opportunity costs be posted in advance.</w:t>
      </w:r>
    </w:p>
  </w:footnote>
  <w:footnote w:id="46">
    <w:p>
      <w:pPr>
        <w:pStyle w:val="Normal"/>
        <w:jc w:val="both"/>
        <w:rPr/>
      </w:pPr>
      <w:r>
        <w:rPr>
          <w:rStyle w:val="FootnoteCharacters"/>
        </w:rPr>
        <w:footnoteRef/>
      </w:r>
      <w:r>
        <w:rPr>
          <w:sz w:val="24"/>
        </w:rPr>
        <w:t xml:space="preserve">  </w:t>
      </w:r>
      <w:r>
        <w:rPr>
          <w:sz w:val="22"/>
          <w:szCs w:val="22"/>
        </w:rPr>
        <w:t>We are not arguing that network service should be inferior to long-term point-to-point.  As the Commission has recognized, network customers incur some financial risks that point-to-point customers do not, as network customers must pay a load ratio share of any costs of the transmission system that the owner does not recover by selling point-to-point service.  However, it serves the general interest of network customers to expand the market for point-to-point transmission; if the point-to-point market is active, long-term point-to-point customers who are charged on a 12-CP basis will tend to pay their full aggregate share of system costs over time.  Accordingly, network and point-to-point customers share an interest in providing comparable and effective access for point-to-point customers.</w:t>
      </w:r>
    </w:p>
    <w:p>
      <w:pPr>
        <w:pStyle w:val="Normal"/>
        <w:spacing w:before="0" w:after="240"/>
        <w:jc w:val="both"/>
        <w:rPr>
          <w:sz w:val="24"/>
          <w:szCs w:val="22"/>
        </w:rPr>
      </w:pPr>
      <w:r>
        <w:rPr>
          <w:sz w:val="24"/>
          <w:szCs w:val="22"/>
        </w:rPr>
      </w:r>
    </w:p>
  </w:footnote>
  <w:footnote w:id="47">
    <w:p>
      <w:pPr>
        <w:pStyle w:val="Normal"/>
        <w:spacing w:before="0" w:after="240"/>
        <w:jc w:val="both"/>
        <w:rPr/>
      </w:pPr>
      <w:r>
        <w:rPr>
          <w:rStyle w:val="FootnoteCharacters"/>
        </w:rPr>
        <w:footnoteRef/>
      </w:r>
      <w:r>
        <w:rPr>
          <w:sz w:val="24"/>
        </w:rPr>
        <w:t xml:space="preserve">  </w:t>
      </w:r>
      <w:r>
        <w:rPr>
          <w:sz w:val="22"/>
          <w:szCs w:val="22"/>
        </w:rPr>
        <w:t>Where a transmission provider has formula rates, the transmission provider has no incentive to sell nonfirm transmission service because any revenue received is returned to firm customers under formula rates.</w:t>
      </w:r>
    </w:p>
  </w:footnote>
  <w:footnote w:id="48">
    <w:p>
      <w:pPr>
        <w:pStyle w:val="Normal"/>
        <w:spacing w:before="0" w:after="240"/>
        <w:jc w:val="both"/>
        <w:rPr/>
      </w:pPr>
      <w:r>
        <w:rPr>
          <w:rStyle w:val="FootnoteCharacters"/>
        </w:rPr>
        <w:footnoteRef/>
      </w:r>
      <w:r>
        <w:rPr>
          <w:sz w:val="24"/>
        </w:rPr>
        <w:t xml:space="preserve">  </w:t>
      </w:r>
      <w:r>
        <w:rPr>
          <w:sz w:val="22"/>
          <w:szCs w:val="22"/>
        </w:rPr>
        <w:t xml:space="preserve">For example, if the receipt point under a firm agreement on a second system were at the interface between two systems and the customer merely changes the generator on the first system, even though the receipt point remains the same, some transmission providers deem this to be a change in the receipt point.  For firm service, this would place the transaction at the lowest nonfirm priority.  For nonfirm service, a new reservation would be required. </w:t>
      </w:r>
    </w:p>
  </w:footnote>
  <w:footnote w:id="49">
    <w:p>
      <w:pPr>
        <w:pStyle w:val="Normal"/>
        <w:spacing w:before="0" w:after="240"/>
        <w:ind w:start="-1440" w:end="-1440"/>
        <w:jc w:val="both"/>
        <w:rPr/>
      </w:pPr>
      <w:r>
        <w:rPr>
          <w:rStyle w:val="FootnoteCharacters"/>
        </w:rPr>
        <w:footnoteRef/>
      </w:r>
      <w:r>
        <w:rPr>
          <w:sz w:val="24"/>
        </w:rPr>
        <w:t xml:space="preserve">  </w:t>
      </w:r>
      <w:r>
        <w:rPr>
          <w:sz w:val="22"/>
          <w:szCs w:val="22"/>
        </w:rPr>
        <w:t xml:space="preserve">This results in some utilities receiving a windfall.  For example, if a transmission provider’s loss percentage is 3.1% and a customer is transmitting 100 MW/h, some providers would have the customer provide 4 MW of losses for every hour.  The difference in calculation for a 24-hour period is 21.6 megawatts.  </w:t>
      </w:r>
    </w:p>
  </w:footnote>
  <w:footnote w:id="50">
    <w:p>
      <w:pPr>
        <w:pStyle w:val="Normal"/>
        <w:spacing w:before="0" w:after="240"/>
        <w:jc w:val="both"/>
        <w:rPr/>
      </w:pPr>
      <w:r>
        <w:rPr>
          <w:rStyle w:val="FootnoteCharacters"/>
        </w:rPr>
        <w:t>1</w:t>
      </w:r>
      <w:r>
        <w:rPr>
          <w:sz w:val="24"/>
        </w:rPr>
        <w:t xml:space="preserve">  </w:t>
      </w:r>
      <w:r>
        <w:rPr>
          <w:sz w:val="22"/>
          <w:szCs w:val="22"/>
        </w:rPr>
        <w:t>See App. D, B.4 for one such example.</w:t>
      </w:r>
    </w:p>
  </w:footnote>
  <w:footnote w:id="51">
    <w:p>
      <w:pPr>
        <w:pStyle w:val="Normal"/>
        <w:spacing w:before="0" w:after="240"/>
        <w:jc w:val="both"/>
        <w:rPr/>
      </w:pPr>
      <w:r>
        <w:rPr>
          <w:rStyle w:val="FootnoteCharacters"/>
        </w:rPr>
        <w:t>2</w:t>
      </w:r>
      <w:r>
        <w:rPr>
          <w:sz w:val="24"/>
        </w:rPr>
        <w:t xml:space="preserve">  </w:t>
      </w:r>
      <w:r>
        <w:rPr>
          <w:sz w:val="22"/>
          <w:szCs w:val="22"/>
        </w:rPr>
        <w:t xml:space="preserve">As two working groups recently noted in a report to FERC, the existing “audit” function on OASIS simply makes a list of all the times any posted value changes on a node. “This . . . places the entire burden on the customer to find the information needed for audit purposes. Imagine going to your bank to see if a deposit you made was for the correct amount and having the bank give you a microfiche of all the bank’s transactions for the last six months.” Commercial Practices Working Group and OASIS How Working Group, Industry Report to the Federal Energy Regulatory Commission on the Future of OASIS 52 (filed Oct. 31, 1997) [hereinafter cited as </w:t>
      </w:r>
      <w:r>
        <w:rPr>
          <w:i/>
          <w:iCs/>
          <w:sz w:val="22"/>
          <w:szCs w:val="22"/>
        </w:rPr>
        <w:t>10/31/97 WGR on OASIS</w:t>
      </w:r>
      <w:r>
        <w:rPr>
          <w:sz w:val="22"/>
          <w:szCs w:val="22"/>
        </w:rPr>
        <w:t>].</w:t>
      </w:r>
    </w:p>
  </w:footnote>
  <w:footnote w:id="52">
    <w:p>
      <w:pPr>
        <w:pStyle w:val="Normal"/>
        <w:spacing w:before="0" w:after="240"/>
        <w:jc w:val="both"/>
        <w:rPr/>
      </w:pPr>
      <w:r>
        <w:rPr>
          <w:rStyle w:val="FootnoteCharacters"/>
        </w:rPr>
        <w:t>3</w:t>
      </w:r>
      <w:r>
        <w:rPr>
          <w:sz w:val="24"/>
        </w:rPr>
        <w:t xml:space="preserve">  </w:t>
      </w:r>
      <w:r>
        <w:rPr>
          <w:i/>
          <w:iCs/>
          <w:sz w:val="22"/>
          <w:szCs w:val="22"/>
        </w:rPr>
        <w:t>See</w:t>
      </w:r>
      <w:r>
        <w:rPr>
          <w:sz w:val="22"/>
          <w:szCs w:val="22"/>
        </w:rPr>
        <w:t xml:space="preserve"> </w:t>
      </w:r>
      <w:r>
        <w:rPr>
          <w:i/>
          <w:iCs/>
          <w:sz w:val="22"/>
          <w:szCs w:val="22"/>
        </w:rPr>
        <w:t>10/31/97 WGR on OASIS</w:t>
      </w:r>
      <w:r>
        <w:rPr>
          <w:sz w:val="22"/>
          <w:szCs w:val="22"/>
        </w:rPr>
        <w:t xml:space="preserve"> at 38-40 (noting that “providers tend to think of ATC as more of an index of availability, rather than an absolute number” and that “[a]ggregation of ATC on a monthly or yearly basis . . . on OASIS may hide the true profile of available capacity during the period, since the posting is usually the minimum for the period”).</w:t>
      </w:r>
    </w:p>
  </w:footnote>
  <w:footnote w:id="53">
    <w:p>
      <w:pPr>
        <w:pStyle w:val="Normal"/>
        <w:spacing w:before="0" w:after="240"/>
        <w:jc w:val="both"/>
        <w:rPr/>
      </w:pPr>
      <w:r>
        <w:rPr>
          <w:rStyle w:val="FootnoteCharacters"/>
        </w:rPr>
        <w:t>4</w:t>
      </w:r>
      <w:r>
        <w:rPr>
          <w:sz w:val="24"/>
        </w:rPr>
        <w:t xml:space="preserve">  </w:t>
      </w:r>
      <w:r>
        <w:rPr>
          <w:sz w:val="22"/>
          <w:szCs w:val="22"/>
        </w:rPr>
        <w:t>“</w:t>
      </w:r>
      <w:r>
        <w:rPr>
          <w:sz w:val="22"/>
          <w:szCs w:val="22"/>
        </w:rPr>
        <w:t>There has been a proliferation of over 300 transmission product names on OASIS, but it is difficult to tell if this is just 40 different [</w:t>
      </w:r>
      <w:r>
        <w:rPr>
          <w:i/>
          <w:iCs/>
          <w:sz w:val="22"/>
          <w:szCs w:val="22"/>
        </w:rPr>
        <w:t>pro forma</w:t>
      </w:r>
      <w:r>
        <w:rPr>
          <w:sz w:val="22"/>
          <w:szCs w:val="22"/>
        </w:rPr>
        <w:t xml:space="preserve"> tariff] products with 300 different names or if the products really do vary.” </w:t>
      </w:r>
      <w:r>
        <w:rPr>
          <w:i/>
          <w:iCs/>
          <w:sz w:val="22"/>
          <w:szCs w:val="22"/>
        </w:rPr>
        <w:t>Id</w:t>
      </w:r>
      <w:r>
        <w:rPr>
          <w:sz w:val="22"/>
          <w:szCs w:val="22"/>
        </w:rPr>
        <w:t>. at 11.</w:t>
      </w:r>
    </w:p>
  </w:footnote>
  <w:footnote w:id="54">
    <w:p>
      <w:pPr>
        <w:pStyle w:val="Normal"/>
        <w:spacing w:before="0" w:after="240"/>
        <w:jc w:val="both"/>
        <w:rPr/>
      </w:pPr>
      <w:r>
        <w:rPr>
          <w:rStyle w:val="FootnoteCharacters"/>
        </w:rPr>
        <w:t>5</w:t>
      </w:r>
      <w:r>
        <w:rPr>
          <w:sz w:val="24"/>
        </w:rPr>
        <w:t xml:space="preserve">  </w:t>
      </w:r>
      <w:r>
        <w:rPr>
          <w:i/>
          <w:iCs/>
          <w:sz w:val="22"/>
          <w:szCs w:val="22"/>
        </w:rPr>
        <w:t>See, e.g.</w:t>
      </w:r>
      <w:r>
        <w:rPr>
          <w:sz w:val="22"/>
          <w:szCs w:val="22"/>
        </w:rPr>
        <w:t xml:space="preserve">, Bethany McLean, </w:t>
      </w:r>
      <w:r>
        <w:rPr>
          <w:i/>
          <w:iCs/>
          <w:sz w:val="22"/>
          <w:szCs w:val="22"/>
        </w:rPr>
        <w:t>Need Electricity? Call Your Broker</w:t>
      </w:r>
      <w:r>
        <w:rPr>
          <w:sz w:val="22"/>
          <w:szCs w:val="22"/>
        </w:rPr>
        <w:t>, Fortune, Sept. 29, 1997, at 153, 153 (citing interview with a managing director of Goldman Sachs &amp; Co.).</w:t>
      </w:r>
    </w:p>
  </w:footnote>
  <w:footnote w:id="55">
    <w:p>
      <w:pPr>
        <w:pStyle w:val="Normal"/>
        <w:spacing w:before="0" w:after="240"/>
        <w:jc w:val="both"/>
        <w:rPr/>
      </w:pPr>
      <w:r>
        <w:rPr>
          <w:rStyle w:val="FootnoteCharacters"/>
        </w:rPr>
        <w:t>1</w:t>
      </w:r>
      <w:r>
        <w:rPr>
          <w:sz w:val="24"/>
        </w:rPr>
        <w:t xml:space="preserve">  </w:t>
      </w:r>
      <w:r>
        <w:rPr>
          <w:i/>
          <w:iCs/>
          <w:sz w:val="24"/>
        </w:rPr>
        <w:t>Uniform System of Accounts Prescribed for Pub. Utils. and Licensees Subject to the Provisions of the FPA,</w:t>
      </w:r>
      <w:r>
        <w:rPr>
          <w:sz w:val="24"/>
        </w:rPr>
        <w:t xml:space="preserve"> 18 C.F.R. PRT 101 (1994).</w:t>
      </w:r>
    </w:p>
  </w:footnote>
  <w:footnote w:id="56">
    <w:p>
      <w:pPr>
        <w:pStyle w:val="Normal"/>
        <w:spacing w:before="0" w:after="240"/>
        <w:jc w:val="both"/>
        <w:rPr/>
      </w:pPr>
      <w:r>
        <w:rPr>
          <w:rStyle w:val="FootnoteCharacters"/>
        </w:rPr>
        <w:t>2</w:t>
      </w:r>
      <w:r>
        <w:rPr>
          <w:sz w:val="24"/>
        </w:rPr>
        <w:t xml:space="preserve">  </w:t>
      </w:r>
      <w:r>
        <w:rPr>
          <w:i/>
          <w:iCs/>
          <w:sz w:val="24"/>
        </w:rPr>
        <w:t>See Order No. 888-A</w:t>
      </w:r>
      <w:r>
        <w:rPr>
          <w:sz w:val="24"/>
        </w:rPr>
        <w:t>, III F.E.R.C. Stats. &amp; Regs. at 30,345;</w:t>
      </w:r>
      <w:r>
        <w:rPr>
          <w:i/>
          <w:iCs/>
          <w:sz w:val="24"/>
        </w:rPr>
        <w:t xml:space="preserve"> Utah v. FERC</w:t>
      </w:r>
      <w:r>
        <w:rPr>
          <w:sz w:val="24"/>
        </w:rPr>
        <w:t xml:space="preserve">, 691 F.2d 444,446 (10th Cir. 1982); </w:t>
      </w:r>
      <w:r>
        <w:rPr>
          <w:i/>
          <w:iCs/>
          <w:sz w:val="24"/>
        </w:rPr>
        <w:t>see also</w:t>
      </w:r>
      <w:r>
        <w:rPr>
          <w:sz w:val="24"/>
        </w:rPr>
        <w:t xml:space="preserve"> </w:t>
      </w:r>
      <w:r>
        <w:rPr>
          <w:i/>
          <w:iCs/>
          <w:sz w:val="24"/>
        </w:rPr>
        <w:t>Phillips Petroleum Co. v. Wisconsin</w:t>
      </w:r>
      <w:r>
        <w:rPr>
          <w:sz w:val="24"/>
        </w:rPr>
        <w:t xml:space="preserve">, 347 U.S. 672, 682 (1954) (applying the principle to gas </w:t>
      </w:r>
      <w:r>
        <w:rPr>
          <w:i/>
          <w:iCs/>
          <w:sz w:val="24"/>
        </w:rPr>
        <w:t xml:space="preserve"> </w:t>
      </w:r>
      <w:r>
        <w:rPr>
          <w:sz w:val="24"/>
        </w:rPr>
        <w:t>in interstate commerce).</w:t>
      </w:r>
    </w:p>
  </w:footnote>
  <w:footnote w:id="57">
    <w:p>
      <w:pPr>
        <w:pStyle w:val="Normal"/>
        <w:spacing w:before="0" w:after="240"/>
        <w:jc w:val="both"/>
        <w:rPr/>
      </w:pPr>
      <w:r>
        <w:rPr>
          <w:rStyle w:val="FootnoteCharacters"/>
        </w:rPr>
        <w:t>3</w:t>
      </w:r>
      <w:r>
        <w:rPr>
          <w:sz w:val="24"/>
        </w:rPr>
        <w:t xml:space="preserve">  </w:t>
      </w:r>
      <w:r>
        <w:rPr>
          <w:i/>
          <w:iCs/>
          <w:sz w:val="24"/>
        </w:rPr>
        <w:t>See, e.g.</w:t>
      </w:r>
      <w:r>
        <w:rPr>
          <w:sz w:val="24"/>
        </w:rPr>
        <w:t xml:space="preserve">, </w:t>
      </w:r>
      <w:r>
        <w:rPr>
          <w:i/>
          <w:iCs/>
          <w:sz w:val="24"/>
        </w:rPr>
        <w:t>FPC v. Florida Power &amp; Light Co</w:t>
      </w:r>
      <w:r>
        <w:rPr>
          <w:sz w:val="24"/>
        </w:rPr>
        <w:t xml:space="preserve">., 404 U.S. 453, </w:t>
      </w:r>
      <w:r>
        <w:rPr>
          <w:i/>
          <w:iCs/>
          <w:sz w:val="24"/>
        </w:rPr>
        <w:t>reh’g denied</w:t>
      </w:r>
      <w:r>
        <w:rPr>
          <w:sz w:val="24"/>
        </w:rPr>
        <w:t xml:space="preserve">, 405 U.S. 948 (1972); </w:t>
      </w:r>
      <w:r>
        <w:rPr>
          <w:i/>
          <w:iCs/>
          <w:sz w:val="24"/>
        </w:rPr>
        <w:t>Connecticut Light &amp; Power Co. v. FPC,</w:t>
      </w:r>
      <w:r>
        <w:rPr>
          <w:sz w:val="24"/>
        </w:rPr>
        <w:t xml:space="preserve"> 324 U.S. 515 (1945); </w:t>
      </w:r>
      <w:r>
        <w:rPr>
          <w:i/>
          <w:iCs/>
          <w:sz w:val="24"/>
        </w:rPr>
        <w:t>Jersey Central Power &amp; Light Co. v. FPC,</w:t>
      </w:r>
      <w:r>
        <w:rPr>
          <w:sz w:val="24"/>
        </w:rPr>
        <w:t xml:space="preserve"> 319 U.S. 61 (1943).</w:t>
      </w:r>
    </w:p>
  </w:footnote>
  <w:footnote w:id="58">
    <w:p>
      <w:pPr>
        <w:pStyle w:val="Normal"/>
        <w:spacing w:before="0" w:after="240"/>
        <w:jc w:val="both"/>
        <w:rPr/>
      </w:pPr>
      <w:r>
        <w:rPr>
          <w:rStyle w:val="FootnoteCharacters"/>
        </w:rPr>
        <w:t>4</w:t>
      </w:r>
      <w:r>
        <w:rPr>
          <w:sz w:val="24"/>
        </w:rPr>
        <w:t xml:space="preserve">  </w:t>
      </w:r>
      <w:r>
        <w:rPr>
          <w:i/>
          <w:iCs/>
          <w:sz w:val="24"/>
        </w:rPr>
        <w:t>See FPC v. Florida Power &amp; Light Co.</w:t>
      </w:r>
      <w:r>
        <w:rPr>
          <w:sz w:val="24"/>
        </w:rPr>
        <w:t>, 404 U.S. 453, 463, 468 (1972) (“as interconnections proliferate and energy pools grow larger,” FPA Section 201 jurisdiction expands).</w:t>
      </w:r>
    </w:p>
  </w:footnote>
  <w:footnote w:id="59">
    <w:p>
      <w:pPr>
        <w:pStyle w:val="Normal"/>
        <w:spacing w:before="0" w:after="240"/>
        <w:jc w:val="both"/>
        <w:rPr/>
      </w:pPr>
      <w:r>
        <w:rPr>
          <w:rStyle w:val="FootnoteCharacters"/>
        </w:rPr>
        <w:t>5</w:t>
      </w:r>
      <w:r>
        <w:rPr>
          <w:sz w:val="24"/>
        </w:rPr>
        <w:t xml:space="preserve"> </w:t>
      </w:r>
      <w:r>
        <w:rPr>
          <w:i/>
          <w:iCs/>
          <w:sz w:val="24"/>
        </w:rPr>
        <w:t xml:space="preserve"> </w:t>
      </w:r>
      <w:r>
        <w:rPr>
          <w:i/>
          <w:iCs/>
          <w:sz w:val="24"/>
        </w:rPr>
        <w:t xml:space="preserve">See also Connecticut Light &amp; Power Co. v. FPC, </w:t>
      </w:r>
      <w:r>
        <w:rPr>
          <w:sz w:val="24"/>
        </w:rPr>
        <w:t>324 U.S. 515, 533-35 (1045) (FPA § 201 jurisdiction extends to all transmission lines not used for local distribution).  As explained below, however, local distribution lines can be reached by the Commission acting under new FPA § 211.</w:t>
      </w:r>
    </w:p>
  </w:footnote>
  <w:footnote w:id="60">
    <w:p>
      <w:pPr>
        <w:pStyle w:val="Normal"/>
        <w:spacing w:before="0" w:after="240"/>
        <w:jc w:val="both"/>
        <w:rPr/>
      </w:pPr>
      <w:r>
        <w:rPr>
          <w:rStyle w:val="FootnoteCharacters"/>
        </w:rPr>
        <w:t>6</w:t>
      </w:r>
      <w:r>
        <w:rPr>
          <w:sz w:val="24"/>
        </w:rPr>
        <w:t xml:space="preserve">  </w:t>
      </w:r>
      <w:r>
        <w:rPr>
          <w:i/>
          <w:iCs/>
          <w:sz w:val="24"/>
        </w:rPr>
        <w:t xml:space="preserve">Cf Pipeline Service Obligations and Revisions to Regulations Governing Self-Implementing Transportation; and Regulation of Natural Gas Pipelines after Wellhead Decontrol, </w:t>
      </w:r>
      <w:r>
        <w:rPr>
          <w:sz w:val="24"/>
        </w:rPr>
        <w:t xml:space="preserve">Order No. 636-A, [1991-96 Regs. Preambles] III F.E.R.C. Stats. &amp; Regs. ¶ 31,950 at 30,575 (1992) (“the pipeline must include in its tariff all operational terms and conditions related to no-notice transportation service so that the Commission can review the reasonableness of those terms and conditions”); </w:t>
      </w:r>
      <w:r>
        <w:rPr>
          <w:i/>
          <w:iCs/>
          <w:sz w:val="24"/>
        </w:rPr>
        <w:t xml:space="preserve">see also id. </w:t>
      </w:r>
      <w:r>
        <w:rPr>
          <w:sz w:val="24"/>
        </w:rPr>
        <w:t>at 30,576 (“Of course, the pipeline must include all of its operational terms and conditions in its tariff so that the Commission can determine if they are reasonable”).</w:t>
      </w:r>
    </w:p>
  </w:footnote>
  <w:footnote w:id="61">
    <w:p>
      <w:pPr>
        <w:pStyle w:val="Normal"/>
        <w:spacing w:before="0" w:after="240"/>
        <w:jc w:val="both"/>
        <w:rPr/>
      </w:pPr>
      <w:r>
        <w:rPr>
          <w:rStyle w:val="FootnoteCharacters"/>
        </w:rPr>
        <w:t>7</w:t>
      </w:r>
      <w:r>
        <w:rPr>
          <w:sz w:val="24"/>
        </w:rPr>
        <w:t xml:space="preserve">  </w:t>
      </w:r>
      <w:r>
        <w:rPr>
          <w:sz w:val="24"/>
        </w:rPr>
        <w:t xml:space="preserve">In </w:t>
      </w:r>
      <w:r>
        <w:rPr>
          <w:i/>
          <w:iCs/>
          <w:sz w:val="24"/>
        </w:rPr>
        <w:t>Attleboro</w:t>
      </w:r>
      <w:r>
        <w:rPr>
          <w:sz w:val="24"/>
        </w:rPr>
        <w:t>, the Supreme Court held that a state utility commission could not regulate the sale of electric power by a Rhode Island electric utility to an electric utility purchaser located in Massachusetts because the sale was in interstate commerce.  Inasmuch as Congress had not yet passed laws providing for regulation of interstate sales of electricity, post-</w:t>
      </w:r>
      <w:r>
        <w:rPr>
          <w:i/>
          <w:iCs/>
          <w:sz w:val="24"/>
        </w:rPr>
        <w:t>Attleboro</w:t>
      </w:r>
      <w:r>
        <w:rPr>
          <w:sz w:val="24"/>
        </w:rPr>
        <w:t xml:space="preserve"> electric utilities were able to transmit and sell electricity in interstate commerce free of any regulation.  Part II of the FPA was intended to fill the jurisdictional gap resulting from the </w:t>
      </w:r>
      <w:r>
        <w:rPr>
          <w:i/>
          <w:iCs/>
          <w:sz w:val="24"/>
        </w:rPr>
        <w:t xml:space="preserve">Attleboro </w:t>
      </w:r>
      <w:r>
        <w:rPr>
          <w:sz w:val="24"/>
        </w:rPr>
        <w:t xml:space="preserve">decision by establishing a framework for the federal regulation of the interstate transmission and wholesale sales of electricity.  </w:t>
      </w:r>
      <w:r>
        <w:rPr>
          <w:i/>
          <w:iCs/>
          <w:sz w:val="24"/>
        </w:rPr>
        <w:t>See FPC v. Southern California Edison Co.</w:t>
      </w:r>
      <w:r>
        <w:rPr>
          <w:sz w:val="24"/>
        </w:rPr>
        <w:t>, 376 U.S. 205, 213-15 (1964).</w:t>
      </w:r>
    </w:p>
  </w:footnote>
  <w:footnote w:id="62">
    <w:p>
      <w:pPr>
        <w:pStyle w:val="Normal"/>
        <w:spacing w:before="0" w:after="240"/>
        <w:jc w:val="both"/>
        <w:rPr/>
      </w:pPr>
      <w:r>
        <w:rPr>
          <w:rStyle w:val="FootnoteCharacters"/>
        </w:rPr>
        <w:t>8</w:t>
      </w:r>
      <w:r>
        <w:rPr>
          <w:sz w:val="24"/>
        </w:rPr>
        <w:t xml:space="preserve">  </w:t>
      </w:r>
      <w:r>
        <w:rPr>
          <w:sz w:val="22"/>
          <w:szCs w:val="22"/>
        </w:rPr>
        <w:t>Section 204(a) of the FPA empowers the Commission to authorize a security issue only if the issue is found to be for some lawful purpose and compatible with the public interest.  16 U.S.C. § 824c(a) (1988).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5"/>
      <w:numFmt w:val="decimal"/>
      <w:lvlText w:val="%2."/>
      <w:lvlJc w:val="start"/>
      <w:pPr>
        <w:tabs>
          <w:tab w:val="num" w:pos="0"/>
        </w:tabs>
        <w:ind w:start="0" w:hanging="0"/>
      </w:pPr>
      <w:rPr>
        <w:sz w:val="26"/>
        <w:i/>
        <w:b/>
        <w:szCs w:val="26"/>
        <w:rFonts w:ascii="Baskerville Old Face" w:hAnsi="Baskerville Old Face" w:cs="Times New Roman"/>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numFmt w:val="bullet"/>
      <w:lvlText w:val=""/>
      <w:lvlJc w:val="start"/>
      <w:pPr>
        <w:tabs>
          <w:tab w:val="num" w:pos="720"/>
        </w:tabs>
        <w:ind w:start="1440" w:hanging="72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0"/>
      <w:numFmt w:val="bullet"/>
      <w:lvlText w:val=""/>
      <w:lvlJc w:val="start"/>
      <w:pPr>
        <w:tabs>
          <w:tab w:val="num" w:pos="720"/>
        </w:tabs>
        <w:ind w:start="720" w:hanging="720"/>
      </w:pPr>
      <w:rPr>
        <w:rFonts w:ascii="Wingdings" w:hAnsi="Wingdings" w:cs="Wingdings" w:hint="default"/>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Baskerville Old Face" w:hAnsi="Baskerville Old Face" w:eastAsia="Times New Roman" w:cs="Baskerville Old Face"/>
      <w:color w:val="auto"/>
      <w:sz w:val="20"/>
      <w:szCs w:val="24"/>
      <w:lang w:val="en-US" w:bidi="ar-SA" w:eastAsia="zh-CN"/>
    </w:rPr>
  </w:style>
  <w:style w:type="character" w:styleId="WW8Num3z1">
    <w:name w:val="WW8Num3z1"/>
    <w:qFormat/>
    <w:rPr>
      <w:rFonts w:ascii="Baskerville Old Face" w:hAnsi="Baskerville Old Face" w:cs="Times New Roman"/>
      <w:b/>
      <w:i/>
      <w:sz w:val="26"/>
      <w:szCs w:val="26"/>
    </w:rPr>
  </w:style>
  <w:style w:type="character" w:styleId="WW8NumSt2z0">
    <w:name w:val="WW8NumSt2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Style14">
    <w:name w:val="_"/>
    <w:basedOn w:val="Normal"/>
    <w:qFormat/>
    <w:pPr>
      <w:ind w:hanging="720" w:start="2160" w:end="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2001-07-19T16:43:00Z</dcterms:created>
  <dc:creator>elinnell</dc:creator>
  <dc:description/>
  <dc:language>en-CA</dc:language>
  <cp:lastModifiedBy>elinnell</cp:lastModifiedBy>
  <dcterms:modified xsi:type="dcterms:W3CDTF">2001-07-19T16:43:00Z</dcterms:modified>
  <cp:revision>2</cp:revision>
  <dc:subject/>
  <dc:title/>
</cp:coreProperties>
</file>