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fldChar w:fldCharType="begin"/>
      </w:r>
      <w:r>
        <w:rPr>
          <w:b/>
        </w:rPr>
        <w:instrText xml:space="preserve"> DATE \@"MM\/dd\/yyyy\ H:mm\ AM/PM" </w:instrText>
      </w:r>
      <w:r>
        <w:rPr>
          <w:b/>
        </w:rPr>
        <w:fldChar w:fldCharType="separate"/>
      </w:r>
      <w:r>
        <w:rPr>
          <w:b/>
        </w:rPr>
        <w:t>09/28/2025 9:05 AM</w:t>
      </w:r>
      <w:r>
        <w:rPr>
          <w:b/>
        </w:rPr>
        <w:fldChar w:fldCharType="end"/>
      </w:r>
    </w:p>
    <w:p>
      <w:pPr>
        <w:pStyle w:val="Normal"/>
        <w:jc w:val="center"/>
        <w:rPr>
          <w:b/>
        </w:rPr>
      </w:pPr>
      <w:r>
        <w:rPr>
          <w:b/>
        </w:rPr>
      </w:r>
    </w:p>
    <w:p>
      <w:pPr>
        <w:pStyle w:val="Normal"/>
        <w:jc w:val="center"/>
        <w:rPr/>
      </w:pPr>
      <w:r>
        <w:rPr/>
      </w:r>
    </w:p>
    <w:p>
      <w:pPr>
        <w:pStyle w:val="Normal"/>
        <w:jc w:val="center"/>
        <w:rPr/>
      </w:pPr>
      <w:r>
        <w:rPr/>
      </w:r>
    </w:p>
    <w:p>
      <w:pPr>
        <w:pStyle w:val="Normal"/>
        <w:jc w:val="center"/>
        <w:rPr/>
      </w:pPr>
      <w:r>
        <w:rPr/>
      </w:r>
    </w:p>
    <w:p>
      <w:pPr>
        <w:pStyle w:val="Normal"/>
        <w:numPr>
          <w:ilvl w:val="0"/>
          <w:numId w:val="0"/>
        </w:numPr>
        <w:jc w:val="center"/>
        <w:outlineLvl w:val="0"/>
        <w:rPr/>
      </w:pPr>
      <w:r>
        <mc:AlternateContent>
          <mc:Choice Requires="wps">
            <w:drawing>
              <wp:anchor behindDoc="0" distT="0" distB="0" distL="114935" distR="114935" simplePos="0" locked="0" layoutInCell="1" allowOverlap="1" relativeHeight="2">
                <wp:simplePos x="0" y="0"/>
                <wp:positionH relativeFrom="column">
                  <wp:posOffset>5394960</wp:posOffset>
                </wp:positionH>
                <wp:positionV relativeFrom="paragraph">
                  <wp:posOffset>-457200</wp:posOffset>
                </wp:positionV>
                <wp:extent cx="822960" cy="365760"/>
                <wp:effectExtent l="12065" t="12065" r="12700" b="12700"/>
                <wp:wrapNone/>
                <wp:docPr id="1" name=""/>
                <a:graphic xmlns:a="http://schemas.openxmlformats.org/drawingml/2006/main">
                  <a:graphicData uri="http://schemas.microsoft.com/office/word/2010/wordprocessingShape">
                    <wps:wsp>
                      <wps:cNvSpPr/>
                      <wps:spPr>
                        <a:xfrm>
                          <a:off x="0" y="0"/>
                          <a:ext cx="822960" cy="365760"/>
                        </a:xfrm>
                        <a:prstGeom prst="bevel">
                          <a:avLst>
                            <a:gd name="adj" fmla="val 12500"/>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4"/>
                                <w:b/>
                                <w:szCs w:val="20"/>
                                <w:rFonts w:ascii="Times New Roman" w:hAnsi="Times New Roman" w:eastAsia="Times New Roman" w:cs="Times New Roman"/>
                                <w:color w:val="auto"/>
                                <w:lang w:val="en-US"/>
                              </w:rPr>
                              <w:t>DRAFT</w:t>
                            </w:r>
                          </w:p>
                        </w:txbxContent>
                      </wps:txbx>
                      <wps:bodyPr anchor="t">
                        <a:noAutofit/>
                      </wps:bodyPr>
                    </wps:wsp>
                  </a:graphicData>
                </a:graphic>
              </wp:anchor>
            </w:drawing>
          </mc:Choice>
          <mc:Fallback>
            <w:pict>
              <v:shapetype id="_x0000_t84" coordsize="21600,21600" o:spt="84" adj="2700" path="m@0@0l@1@0l@1@2l@0@2xnsem,l21600,l@1@0l@0@0xnsem,21600l@0@2l@1@2l21600,21600xnsem,l@0@0l@0@2l,21600xnsem21600,l21600,21600l@1@2l@1@0xnsem,l21600,l21600,21600l,21600xm@0@0l@1@0l@1@2l@0@2xm,l@0@0m,21600l@0@2m21600,l@1@0m21600,21600l@1@2nfe">
                <v:stroke joinstyle="miter"/>
                <v:formulas>
                  <v:f eqn="val #0"/>
                  <v:f eqn="sum width 0 @0"/>
                  <v:f eqn="sum height 0 @0"/>
                </v:formulas>
                <v:path gradientshapeok="t" o:connecttype="rect" textboxrect="@0,@0,@1,@2"/>
                <v:handles>
                  <v:h position="@0,0"/>
                </v:handles>
              </v:shapetype>
              <v:shape id="shape_0" fillcolor="white" stroked="t" o:allowincell="f" style="position:absolute;margin-left:424.8pt;margin-top:-36pt;width:64.75pt;height:28.75pt;mso-wrap-style:square;v-text-anchor:top" type="_x0000_t84">
                <v:textbox>
                  <w:txbxContent>
                    <w:p>
                      <w:pPr>
                        <w:overflowPunct w:val="false"/>
                        <w:bidi w:val="0"/>
                        <w:jc w:val="center"/>
                        <w:rPr/>
                      </w:pPr>
                      <w:r>
                        <w:rPr>
                          <w:kern w:val="2"/>
                          <w:sz w:val="24"/>
                          <w:b/>
                          <w:szCs w:val="20"/>
                          <w:rFonts w:ascii="Times New Roman" w:hAnsi="Times New Roman" w:eastAsia="Times New Roman" w:cs="Times New Roman"/>
                          <w:color w:val="auto"/>
                          <w:lang w:val="en-US"/>
                        </w:rPr>
                        <w:t>DRAFT</w:t>
                      </w:r>
                    </w:p>
                  </w:txbxContent>
                </v:textbox>
                <v:fill o:detectmouseclick="t" type="solid" color2="black"/>
                <v:stroke color="black" weight="9360" joinstyle="miter" endcap="flat"/>
                <w10:wrap type="none"/>
              </v:shape>
            </w:pict>
          </mc:Fallback>
        </mc:AlternateContent>
      </w:r>
      <w:r>
        <w:rPr/>
        <w:t>NO.  _______________________</w:t>
      </w:r>
    </w:p>
    <w:p>
      <w:pPr>
        <w:pStyle w:val="Normal"/>
        <w:rPr/>
      </w:pPr>
      <w:r>
        <w:rPr/>
      </w:r>
    </w:p>
    <w:p>
      <w:pPr>
        <w:pStyle w:val="Normal"/>
        <w:rPr/>
      </w:pPr>
      <w:r>
        <w:rPr/>
        <w:t>ECTMI TRUTTA HOLDINGS L.P.</w:t>
        <w:tab/>
        <w:tab/>
        <w:t>§</w:t>
        <w:tab/>
        <w:t>IN THE DISTRICT COURT OF</w:t>
      </w:r>
    </w:p>
    <w:p>
      <w:pPr>
        <w:pStyle w:val="Normal"/>
        <w:rPr/>
      </w:pPr>
      <w:r>
        <w:rPr/>
        <w:t>and EAST COAST POWER HOLDING</w:t>
        <w:tab/>
        <w:t>§</w:t>
      </w:r>
    </w:p>
    <w:p>
      <w:pPr>
        <w:pStyle w:val="Normal"/>
        <w:rPr/>
      </w:pPr>
      <w:r>
        <w:rPr/>
        <w:t>COMPANY L.C.C.</w:t>
        <w:tab/>
        <w:tab/>
        <w:tab/>
        <w:tab/>
        <w:t>§</w:t>
      </w:r>
    </w:p>
    <w:p>
      <w:pPr>
        <w:pStyle w:val="Normal"/>
        <w:rPr/>
      </w:pPr>
      <w:r>
        <w:rPr/>
        <w:tab/>
        <w:tab/>
        <w:tab/>
        <w:tab/>
        <w:tab/>
        <w:tab/>
        <w:t>§</w:t>
      </w:r>
    </w:p>
    <w:p>
      <w:pPr>
        <w:pStyle w:val="Normal"/>
        <w:rPr/>
      </w:pPr>
      <w:r>
        <w:rPr/>
        <w:tab/>
        <w:tab/>
        <w:t>Plaintiffs,</w:t>
        <w:tab/>
        <w:tab/>
        <w:tab/>
        <w:t>§</w:t>
        <w:tab/>
        <w:t>HARRIS COUNTY, T E X A S</w:t>
      </w:r>
    </w:p>
    <w:p>
      <w:pPr>
        <w:pStyle w:val="Normal"/>
        <w:rPr/>
      </w:pPr>
      <w:r>
        <w:rPr/>
        <w:tab/>
        <w:tab/>
        <w:tab/>
        <w:tab/>
        <w:tab/>
        <w:tab/>
        <w:t>§</w:t>
      </w:r>
    </w:p>
    <w:p>
      <w:pPr>
        <w:pStyle w:val="Normal"/>
        <w:rPr/>
      </w:pPr>
      <w:r>
        <w:rPr/>
        <w:t>v.</w:t>
        <w:tab/>
        <w:tab/>
        <w:tab/>
        <w:tab/>
        <w:tab/>
        <w:tab/>
        <w:t>§</w:t>
      </w:r>
    </w:p>
    <w:p>
      <w:pPr>
        <w:pStyle w:val="Normal"/>
        <w:rPr/>
      </w:pPr>
      <w:r>
        <w:rPr/>
        <w:tab/>
        <w:tab/>
        <w:tab/>
        <w:tab/>
        <w:tab/>
        <w:tab/>
        <w:t>§</w:t>
      </w:r>
    </w:p>
    <w:p>
      <w:pPr>
        <w:pStyle w:val="Normal"/>
        <w:rPr/>
      </w:pPr>
      <w:r>
        <w:rPr/>
        <w:t>EL PASO CORPORATION AND EL</w:t>
        <w:tab/>
        <w:t>§</w:t>
      </w:r>
    </w:p>
    <w:p>
      <w:pPr>
        <w:pStyle w:val="Normal"/>
        <w:rPr/>
      </w:pPr>
      <w:r>
        <w:rPr/>
        <w:t>PASO MERCHANT ENERGY, L.P.,</w:t>
        <w:tab/>
        <w:t>§</w:t>
      </w:r>
    </w:p>
    <w:p>
      <w:pPr>
        <w:pStyle w:val="Normal"/>
        <w:rPr/>
      </w:pPr>
      <w:r>
        <w:rPr/>
        <w:tab/>
        <w:tab/>
        <w:tab/>
        <w:tab/>
        <w:tab/>
        <w:tab/>
        <w:t>§</w:t>
      </w:r>
    </w:p>
    <w:p>
      <w:pPr>
        <w:pStyle w:val="Normal"/>
        <w:rPr/>
      </w:pPr>
      <w:r>
        <w:rPr/>
        <w:tab/>
        <w:tab/>
        <w:t>Defendants.</w:t>
        <w:tab/>
        <w:tab/>
        <w:tab/>
        <w:t>§</w:t>
        <w:tab/>
        <w:t>_________ JUDICIAL DISTRICT</w:t>
      </w:r>
    </w:p>
    <w:p>
      <w:pPr>
        <w:pStyle w:val="Normal"/>
        <w:rPr/>
      </w:pPr>
      <w:r>
        <w:rPr/>
      </w:r>
    </w:p>
    <w:p>
      <w:pPr>
        <w:pStyle w:val="Normal"/>
        <w:rPr/>
      </w:pPr>
      <w:r>
        <w:rPr/>
      </w:r>
    </w:p>
    <w:p>
      <w:pPr>
        <w:pStyle w:val="Normal"/>
        <w:numPr>
          <w:ilvl w:val="0"/>
          <w:numId w:val="0"/>
        </w:numPr>
        <w:jc w:val="center"/>
        <w:outlineLvl w:val="0"/>
        <w:rPr>
          <w:b/>
          <w:u w:val="single"/>
        </w:rPr>
      </w:pPr>
      <w:r>
        <w:rPr>
          <w:b/>
          <w:u w:val="single"/>
        </w:rPr>
        <w:t xml:space="preserve">PLAINTIFFS' ORIGINAL PETITION </w:t>
      </w:r>
    </w:p>
    <w:p>
      <w:pPr>
        <w:pStyle w:val="Normal"/>
        <w:jc w:val="center"/>
        <w:rPr>
          <w:b/>
          <w:u w:val="single"/>
        </w:rPr>
      </w:pPr>
      <w:r>
        <w:rPr>
          <w:b/>
          <w:u w:val="single"/>
        </w:rPr>
        <w:t>FOR DECLARATORY RELIEF</w:t>
      </w:r>
    </w:p>
    <w:p>
      <w:pPr>
        <w:pStyle w:val="Normal"/>
        <w:jc w:val="center"/>
        <w:rPr>
          <w:b/>
          <w:u w:val="single"/>
        </w:rPr>
      </w:pPr>
      <w:r>
        <w:rPr>
          <w:b/>
          <w:u w:val="single"/>
        </w:rPr>
      </w:r>
    </w:p>
    <w:p>
      <w:pPr>
        <w:pStyle w:val="Normal"/>
        <w:numPr>
          <w:ilvl w:val="0"/>
          <w:numId w:val="0"/>
        </w:numPr>
        <w:outlineLvl w:val="0"/>
        <w:rPr/>
      </w:pPr>
      <w:r>
        <w:rPr/>
        <w:t>TO THE HONORABLE COURT:</w:t>
      </w:r>
    </w:p>
    <w:p>
      <w:pPr>
        <w:pStyle w:val="Normal"/>
        <w:rPr/>
      </w:pPr>
      <w:r>
        <w:rPr/>
      </w:r>
    </w:p>
    <w:p>
      <w:pPr>
        <w:pStyle w:val="BodyTextFirstIndent"/>
        <w:rPr/>
      </w:pPr>
      <w:r>
        <w:rPr/>
        <w:t>Plaintiffs, ECTMI Trutta Holdings L.P. and East Coast Power Holding Company L.L.C. (collectively "plaintiffs"), bring this action for declaratory relief against defendants, El Paso Corporation and its wholly-owned subsidiary El Paso Merchant Energy, L.P. (collectively "defendants") and in support thereof respectfully show as follows:</w:t>
      </w:r>
    </w:p>
    <w:p>
      <w:pPr>
        <w:pStyle w:val="Normal"/>
        <w:numPr>
          <w:ilvl w:val="0"/>
          <w:numId w:val="0"/>
        </w:numPr>
        <w:jc w:val="center"/>
        <w:outlineLvl w:val="0"/>
        <w:rPr>
          <w:b/>
        </w:rPr>
      </w:pPr>
      <w:r>
        <w:rPr>
          <w:b/>
        </w:rPr>
        <w:t>I.</w:t>
      </w:r>
    </w:p>
    <w:p>
      <w:pPr>
        <w:pStyle w:val="Normal"/>
        <w:jc w:val="center"/>
        <w:rPr>
          <w:b/>
        </w:rPr>
      </w:pPr>
      <w:r>
        <w:rPr>
          <w:b/>
        </w:rPr>
        <w:t>DISCOVERY CONTROL PLAN</w:t>
      </w:r>
    </w:p>
    <w:p>
      <w:pPr>
        <w:pStyle w:val="Normal"/>
        <w:jc w:val="center"/>
        <w:rPr>
          <w:b/>
        </w:rPr>
      </w:pPr>
      <w:r>
        <w:rPr>
          <w:b/>
        </w:rPr>
      </w:r>
    </w:p>
    <w:p>
      <w:pPr>
        <w:pStyle w:val="Normal"/>
        <w:numPr>
          <w:ilvl w:val="0"/>
          <w:numId w:val="2"/>
        </w:numPr>
        <w:tabs>
          <w:tab w:val="clear" w:pos="720"/>
          <w:tab w:val="left" w:pos="2160" w:leader="none"/>
        </w:tabs>
        <w:spacing w:lineRule="auto" w:line="480"/>
        <w:rPr/>
      </w:pPr>
      <w:r>
        <w:rPr/>
        <w:t>Discovery is intended to be conducted under Level 3 of Texas Rules of Civil Procedure 190.</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rPr>
      </w:pPr>
      <w:r>
        <w:rPr>
          <w:b/>
        </w:rPr>
        <w:t>II.</w:t>
      </w:r>
    </w:p>
    <w:p>
      <w:pPr>
        <w:pStyle w:val="Normal"/>
        <w:jc w:val="center"/>
        <w:rPr>
          <w:b/>
        </w:rPr>
      </w:pPr>
      <w:r>
        <w:rPr>
          <w:b/>
        </w:rPr>
        <w:t>PARTIES</w:t>
      </w:r>
    </w:p>
    <w:p>
      <w:pPr>
        <w:pStyle w:val="Normal"/>
        <w:jc w:val="center"/>
        <w:rPr>
          <w:b/>
        </w:rPr>
      </w:pPr>
      <w:r>
        <w:rPr>
          <w:b/>
        </w:rPr>
      </w:r>
    </w:p>
    <w:p>
      <w:pPr>
        <w:pStyle w:val="Normal"/>
        <w:numPr>
          <w:ilvl w:val="0"/>
          <w:numId w:val="2"/>
        </w:numPr>
        <w:spacing w:lineRule="auto" w:line="480"/>
        <w:rPr/>
      </w:pPr>
      <w:r>
        <w:rPr/>
        <w:tab/>
        <w:t>Plaintiff ECTMI Trutta Holdings L.P. ("Trutta") is a Delaware limited partnership with its principal place of business in Houston, Texas.</w:t>
      </w:r>
    </w:p>
    <w:p>
      <w:pPr>
        <w:pStyle w:val="Normal"/>
        <w:numPr>
          <w:ilvl w:val="0"/>
          <w:numId w:val="2"/>
        </w:numPr>
        <w:spacing w:lineRule="auto" w:line="480"/>
        <w:rPr/>
      </w:pPr>
      <w:r>
        <w:rPr/>
        <w:tab/>
        <w:t xml:space="preserve">Plaintiff East Coast Power Holding Company L.L.C. ("ECP Holding") is a Delaware limited liability company with its principal place of business in Houston, Texas.  </w:t>
      </w:r>
      <w:r>
        <w:rPr>
          <w:b/>
        </w:rPr>
        <w:t>[Need to confirm place of business with Enron.]</w:t>
      </w:r>
    </w:p>
    <w:p>
      <w:pPr>
        <w:pStyle w:val="Normal"/>
        <w:numPr>
          <w:ilvl w:val="0"/>
          <w:numId w:val="2"/>
        </w:numPr>
        <w:spacing w:lineRule="auto" w:line="480"/>
        <w:rPr>
          <w:b/>
        </w:rPr>
      </w:pPr>
      <w:r>
        <w:rPr/>
        <w:tab/>
        <w:t>Defendant, El Paso Corporation ("El Paso"), is a Delaware corporation with its principal place of business in Houston, Texas.  Service of process on this defendant may be made by serving defendant's registered agent for service of process, CT Corporation System, 1021 Main Street, Suite 1150, Houston, Texas 77002.</w:t>
      </w:r>
    </w:p>
    <w:p>
      <w:pPr>
        <w:pStyle w:val="Normal"/>
        <w:numPr>
          <w:ilvl w:val="0"/>
          <w:numId w:val="2"/>
        </w:numPr>
        <w:spacing w:lineRule="auto" w:line="480"/>
        <w:rPr>
          <w:b/>
        </w:rPr>
      </w:pPr>
      <w:r>
        <w:rPr/>
        <w:tab/>
        <w:t>Defendant El Paso Merchant Energy, L.P. ("EPME") is a Delaware limited partnership with its principal place of business in Houston, Texas.  Service of process on this defendant may be made by serving defendant's registered agent for service of process, CT Corporation System, 1021 Main Street, Suite 1150, Houston, Texas 77002.</w:t>
      </w:r>
    </w:p>
    <w:p>
      <w:pPr>
        <w:pStyle w:val="BodyText"/>
        <w:numPr>
          <w:ilvl w:val="0"/>
          <w:numId w:val="0"/>
        </w:numPr>
        <w:spacing w:before="0" w:after="0"/>
        <w:jc w:val="center"/>
        <w:outlineLvl w:val="0"/>
        <w:rPr>
          <w:b/>
        </w:rPr>
      </w:pPr>
      <w:r>
        <w:rPr>
          <w:b/>
        </w:rPr>
        <w:t>III.</w:t>
      </w:r>
    </w:p>
    <w:p>
      <w:pPr>
        <w:pStyle w:val="Normal"/>
        <w:jc w:val="center"/>
        <w:rPr>
          <w:b/>
        </w:rPr>
      </w:pPr>
      <w:r>
        <w:rPr>
          <w:b/>
        </w:rPr>
        <w:t>JURISDICTION AND VENUE</w:t>
      </w:r>
    </w:p>
    <w:p>
      <w:pPr>
        <w:pStyle w:val="Normal"/>
        <w:jc w:val="center"/>
        <w:rPr>
          <w:b/>
        </w:rPr>
      </w:pPr>
      <w:r>
        <w:rPr>
          <w:b/>
        </w:rPr>
      </w:r>
    </w:p>
    <w:p>
      <w:pPr>
        <w:pStyle w:val="Normal"/>
        <w:numPr>
          <w:ilvl w:val="0"/>
          <w:numId w:val="2"/>
        </w:numPr>
        <w:spacing w:lineRule="auto" w:line="480"/>
        <w:rPr/>
      </w:pPr>
      <w:r>
        <w:rPr/>
        <w:tab/>
        <w:t xml:space="preserve">The subject matter of this action is within this Court's general jurisdiction.  A justiciable controversy exists, and the amount in controversy is within the jurisdictional limits of this Court.  </w:t>
      </w:r>
    </w:p>
    <w:p>
      <w:pPr>
        <w:pStyle w:val="Normal"/>
        <w:numPr>
          <w:ilvl w:val="0"/>
          <w:numId w:val="2"/>
        </w:numPr>
        <w:spacing w:lineRule="auto" w:line="480"/>
        <w:rPr/>
      </w:pPr>
      <w:r>
        <w:rPr/>
        <w:tab/>
        <w:t xml:space="preserve">Venue is proper in Harris County, Texas pursuant to § 15.002 of the Texas Civil Practice and Remedies Code because all or a substantial part of the events or omissions giving rise to plaintiffs' claims occurred in Harris County, Texas and because defendant El Paso's principal Texas office is located in Harris County.  </w:t>
      </w:r>
    </w:p>
    <w:p>
      <w:pPr>
        <w:pStyle w:val="Normal"/>
        <w:numPr>
          <w:ilvl w:val="0"/>
          <w:numId w:val="0"/>
        </w:numPr>
        <w:jc w:val="center"/>
        <w:outlineLvl w:val="0"/>
        <w:rPr>
          <w:b/>
        </w:rPr>
      </w:pPr>
      <w:r>
        <w:rPr>
          <w:b/>
        </w:rPr>
        <w:t>IV.</w:t>
      </w:r>
    </w:p>
    <w:p>
      <w:pPr>
        <w:pStyle w:val="BodyText"/>
        <w:jc w:val="center"/>
        <w:rPr>
          <w:b/>
        </w:rPr>
      </w:pPr>
      <w:r>
        <w:rPr>
          <w:b/>
        </w:rPr>
        <w:t>BACKGROUND FACTS</w:t>
      </w:r>
    </w:p>
    <w:p>
      <w:pPr>
        <w:pStyle w:val="Normal"/>
        <w:numPr>
          <w:ilvl w:val="0"/>
          <w:numId w:val="2"/>
        </w:numPr>
        <w:spacing w:lineRule="auto" w:line="480"/>
        <w:rPr/>
      </w:pPr>
      <w:r>
        <w:rPr/>
        <w:tab/>
        <w:t>This declaratory judgment action arises from a transaction in which affiliates of Enron Corporation ("Enron") sold their interests in East Coast Power L.L.C., which owns a number of cogeneration facilities, to El Paso.  After agreeing upon a purchase price for the sale, El Paso and Enron considered several structures to realize that purchase price.    Ultimately, the parties agreed that the payment for the transaction would be structured as two "Swap Agreements" between Enron and El Paso, which Enron would in turn "monetize."  Because the Swap Agreements contemplated a stream of payments to Enron, the payments under the Swap Agreements were to be guaranteed by El Paso.  At all times during the negotiations, Enron made clear that it wanted to maximize the cash value of the sale and that it planned to monetize its side of the two Swap Agreements by selling its interests to a third party.  El Paso understood Enron's intent was to monetize the Swap Agreements, and the SWAP Agreements were structured to realize that intent.</w:t>
      </w:r>
    </w:p>
    <w:p>
      <w:pPr>
        <w:pStyle w:val="Normal"/>
        <w:numPr>
          <w:ilvl w:val="0"/>
          <w:numId w:val="2"/>
        </w:numPr>
        <w:spacing w:lineRule="auto" w:line="480"/>
        <w:rPr/>
      </w:pPr>
      <w:r>
        <w:rPr/>
        <w:tab/>
        <w:t xml:space="preserve">As ultimately structured, two of Enron's subsidiaries – Trutta and ECP Holding – held Enron's interest in the Swap Agreements.  </w:t>
      </w:r>
      <w:r>
        <w:rPr>
          <w:i/>
        </w:rPr>
        <w:t>See</w:t>
      </w:r>
      <w:r>
        <w:rPr/>
        <w:t xml:space="preserve"> Art. I of the "Assignment Agreements", attached as Exhibits A &amp; B.  El Paso also placed its interests with its EPME subsidiary.  As such, the parties to the Swap Agreements are: (1) EPME and ECP Holding; and (2) EPME and Trutta.    </w:t>
      </w:r>
    </w:p>
    <w:p>
      <w:pPr>
        <w:pStyle w:val="Normal"/>
        <w:numPr>
          <w:ilvl w:val="0"/>
          <w:numId w:val="2"/>
        </w:numPr>
        <w:tabs>
          <w:tab w:val="clear" w:pos="720"/>
          <w:tab w:val="left" w:pos="2160" w:leader="none"/>
        </w:tabs>
        <w:spacing w:lineRule="auto" w:line="480"/>
        <w:rPr/>
      </w:pPr>
      <w:r>
        <w:rPr/>
        <w:t xml:space="preserve">In addition, as the parties agreed, El Paso guaranteed EPME's obligations under the Swap Agreements with ECP Holding and Trutta.  </w:t>
      </w:r>
      <w:r>
        <w:rPr>
          <w:i/>
        </w:rPr>
        <w:t xml:space="preserve">See </w:t>
      </w:r>
      <w:r>
        <w:rPr/>
        <w:t xml:space="preserve">the "Guaranty Agreements", attached as Exhibits C &amp; D.  Pursuant to the Guaranty Agreements, El Paso "irrevocably and unconditionally" guaranteed the payment of EPME's obligations under the SWAP Agreements to ECP Holding and to Trutta.  </w:t>
      </w:r>
      <w:r>
        <w:rPr>
          <w:i/>
        </w:rPr>
        <w:t xml:space="preserve">See </w:t>
      </w:r>
      <w:r>
        <w:rPr/>
        <w:t>Exs. C &amp; D, ¶ 1.</w:t>
      </w:r>
    </w:p>
    <w:p>
      <w:pPr>
        <w:pStyle w:val="Normal"/>
        <w:numPr>
          <w:ilvl w:val="0"/>
          <w:numId w:val="2"/>
        </w:numPr>
        <w:tabs>
          <w:tab w:val="clear" w:pos="720"/>
          <w:tab w:val="left" w:pos="2160" w:leader="none"/>
        </w:tabs>
        <w:spacing w:lineRule="auto" w:line="480"/>
        <w:rPr/>
      </w:pPr>
      <w:r>
        <w:rPr/>
        <w:t xml:space="preserve">The transaction provided that the Guaranty Agreements would survive the assignment of the Swap Agreements to ECP Holding and to Trutta.  Indeed, in the Assignment Agreements, El Paso, as the Guarantor, acknowledged that the Swap Agreements were being assigned to ECP Holding and to Trutta and that the assignees would be beneficiaries of the Guaranty Agreements.  </w:t>
      </w:r>
      <w:r>
        <w:rPr>
          <w:i/>
        </w:rPr>
        <w:t>See</w:t>
      </w:r>
      <w:r>
        <w:rPr/>
        <w:t xml:space="preserve"> Exs. A &amp; B, page 1.  Moreover, in the Guaranty Agreements, El Paso expressly agreed that "any such transferee or assignee will be entitled of the benefits of this Guaranty as though it were [the original party]" and that the Guaranty Agreements would "be binding upon Guarantor, its successors and assigns and inure to the benefit of and be enforceable by [the original party], its successors and assigns."  </w:t>
      </w:r>
      <w:r>
        <w:rPr>
          <w:i/>
        </w:rPr>
        <w:t xml:space="preserve">See </w:t>
      </w:r>
      <w:r>
        <w:rPr/>
        <w:t xml:space="preserve">Exs. C &amp; D, ¶¶ 8 and 9.  </w:t>
      </w:r>
    </w:p>
    <w:p>
      <w:pPr>
        <w:pStyle w:val="Normal"/>
        <w:numPr>
          <w:ilvl w:val="0"/>
          <w:numId w:val="2"/>
        </w:numPr>
        <w:tabs>
          <w:tab w:val="clear" w:pos="720"/>
          <w:tab w:val="left" w:pos="2160" w:leader="none"/>
        </w:tabs>
        <w:spacing w:lineRule="auto" w:line="480"/>
        <w:rPr/>
      </w:pPr>
      <w:r>
        <w:rPr/>
        <w:t xml:space="preserve">Prior to finalizing the transaction, El Paso requested that it have the ability to assign EPME's interest in the Swap Agreements to other entities wholly-owned by El Paso.  Enron agreed.  In accordance with this agreement, the Swap Agreements provided that EPME "may transfer its rights and obligations under this Agreement to any entity wholly-owned by Party B's Credit Support Provider [El Paso]."  </w:t>
      </w:r>
      <w:r>
        <w:rPr>
          <w:i/>
        </w:rPr>
        <w:t>See</w:t>
      </w:r>
      <w:r>
        <w:rPr/>
        <w:t xml:space="preserve"> ISDA Master Agreements and Schedules to the Master Agreements, Part 5(n) of the Schedules, attached as Exhibits E &amp; F.</w:t>
      </w:r>
    </w:p>
    <w:p>
      <w:pPr>
        <w:pStyle w:val="Normal"/>
        <w:numPr>
          <w:ilvl w:val="0"/>
          <w:numId w:val="2"/>
        </w:numPr>
        <w:tabs>
          <w:tab w:val="clear" w:pos="720"/>
          <w:tab w:val="left" w:pos="2160" w:leader="none"/>
        </w:tabs>
        <w:spacing w:lineRule="auto" w:line="480"/>
        <w:rPr>
          <w:b/>
        </w:rPr>
      </w:pPr>
      <w:r>
        <w:rPr/>
        <w:t xml:space="preserve">As it always intended to do, Enron then began the process of monetizing the two Swap Agreements.  In the course of drafting the documents necessary to consummate the monetization, Enron recognized a potential ambiguity in the transaction documents.  While the change requested by El Paso established that the Swap Agreements could be transferred from EPME to other wholly-owned El Paso entities (defined as entities wholly-owned by the Credit Support Provider), the effect of such a transfer on the Guaranty Agreements was not clearly documented.  As a result, there was some uncertainty as to the effect of an assignment by EPME on El Paso's obligations under the Guaranty Agreements.  </w:t>
      </w:r>
    </w:p>
    <w:p>
      <w:pPr>
        <w:pStyle w:val="Normal"/>
        <w:numPr>
          <w:ilvl w:val="0"/>
          <w:numId w:val="2"/>
        </w:numPr>
        <w:tabs>
          <w:tab w:val="clear" w:pos="720"/>
          <w:tab w:val="left" w:pos="2160" w:leader="none"/>
        </w:tabs>
        <w:spacing w:lineRule="auto" w:line="480"/>
        <w:rPr>
          <w:b/>
        </w:rPr>
      </w:pPr>
      <w:r>
        <w:rPr/>
        <w:t xml:space="preserve">Enron approached El Paso about this potential ambiguity and sought to clarify that the Guaranty Agreements would, as the parties intended, travel with an assignment of EPME's rights under the Swap Agreements.  Surprisingly, El Paso did not agree that the Guaranty Agreements would travel with such an assignment by EPME.  Moreover, El Paso has indicated that it plans to exploit the potential ambiguity in an effort to prevent Enron from monetizing the transaction, exactly the step Enron planned to take from the outset.  Without an agreement from El Paso that the Guaranty Agreements travel with the assignment of EPME's rights under the Swap Agreements, Enron cannot efficiently monetize the Swap Agreements because of the uncertainty surrounding the enforceability of the Guaranty Agreements following any assignment by EPME.  Thus, Enron asks this Court to confirm the intent of the parties that the Guaranty Agreements travel with an assignment of EPME's interest in the Swap Agreements to another entity owned by El Paso.  </w:t>
      </w:r>
    </w:p>
    <w:p>
      <w:pPr>
        <w:pStyle w:val="Normal"/>
        <w:numPr>
          <w:ilvl w:val="0"/>
          <w:numId w:val="2"/>
        </w:numPr>
        <w:tabs>
          <w:tab w:val="clear" w:pos="720"/>
          <w:tab w:val="left" w:pos="2160" w:leader="none"/>
        </w:tabs>
        <w:spacing w:lineRule="auto" w:line="480"/>
        <w:rPr>
          <w:b/>
        </w:rPr>
      </w:pPr>
      <w:r>
        <w:rPr>
          <w:b/>
        </w:rPr>
        <w:t>[</w:t>
      </w:r>
      <w:r>
        <w:rPr/>
        <w:t>El Paso has also recently informed Enron that it plans to use a confidentiality provision in the SWAP Agreements to prevent assignment of the SWAP Agreements by Enron even though the SWAP Agreements expressly contemplate assignment by Enron.</w:t>
      </w:r>
      <w:r>
        <w:rPr>
          <w:b/>
        </w:rPr>
        <w:t>]</w:t>
      </w:r>
    </w:p>
    <w:p>
      <w:pPr>
        <w:pStyle w:val="BodyText"/>
        <w:numPr>
          <w:ilvl w:val="0"/>
          <w:numId w:val="0"/>
        </w:numPr>
        <w:spacing w:before="0" w:after="0"/>
        <w:jc w:val="center"/>
        <w:outlineLvl w:val="0"/>
        <w:rPr>
          <w:b/>
        </w:rPr>
      </w:pPr>
      <w:r>
        <w:rPr>
          <w:b/>
        </w:rPr>
        <w:t>V.</w:t>
      </w:r>
    </w:p>
    <w:p>
      <w:pPr>
        <w:pStyle w:val="BodyText"/>
        <w:jc w:val="center"/>
        <w:rPr>
          <w:b/>
        </w:rPr>
      </w:pPr>
      <w:r>
        <w:rPr>
          <w:b/>
        </w:rPr>
        <w:t>DECLARATORY JUDGMENT ACTION</w:t>
      </w:r>
    </w:p>
    <w:p>
      <w:pPr>
        <w:pStyle w:val="Normal"/>
        <w:numPr>
          <w:ilvl w:val="0"/>
          <w:numId w:val="2"/>
        </w:numPr>
        <w:tabs>
          <w:tab w:val="clear" w:pos="720"/>
          <w:tab w:val="left" w:pos="2160" w:leader="none"/>
        </w:tabs>
        <w:spacing w:lineRule="auto" w:line="480"/>
        <w:rPr/>
      </w:pPr>
      <w:r>
        <w:rPr/>
        <w:t xml:space="preserve">An actual controversy has arisen and now exists between the parties relating to El Paso's and EPME's obligations to the plaintiffs under the Guaranty Agreements.  Pursuant to sections 37.003 and 37.004 of the Texas Civil Practice and Remedies Code, this Court has the power to declare the rights, status, and legal relations of El Paso, EPME, and the plaintiffs under the Swap and the Guaranty Agreements. </w:t>
      </w:r>
    </w:p>
    <w:p>
      <w:pPr>
        <w:pStyle w:val="Normal"/>
        <w:numPr>
          <w:ilvl w:val="0"/>
          <w:numId w:val="2"/>
        </w:numPr>
        <w:tabs>
          <w:tab w:val="clear" w:pos="720"/>
          <w:tab w:val="left" w:pos="2160" w:leader="none"/>
        </w:tabs>
        <w:spacing w:lineRule="auto" w:line="480"/>
        <w:rPr/>
      </w:pPr>
      <w:r>
        <w:rPr/>
        <w:t xml:space="preserve">Plaintiffs seek a declaration that El Paso is obligated to the plaintiffs under the Guaranty Agreements in the event that El Paso or EPME transfers the interests of EPME under the Swap Agreements to another entity that is wholly-owned by El Paso.  Plaintiffs ask this Court to confirm the intent of the parties that the Guaranty Agreements travel with an assignment of EPME's interests to another entity owned by El Paso.  </w:t>
      </w:r>
    </w:p>
    <w:p>
      <w:pPr>
        <w:pStyle w:val="Normal"/>
        <w:numPr>
          <w:ilvl w:val="0"/>
          <w:numId w:val="2"/>
        </w:numPr>
        <w:tabs>
          <w:tab w:val="clear" w:pos="720"/>
          <w:tab w:val="left" w:pos="2160" w:leader="none"/>
        </w:tabs>
        <w:spacing w:lineRule="auto" w:line="480"/>
        <w:rPr/>
      </w:pPr>
      <w:r>
        <w:rPr/>
        <w:t xml:space="preserve">Plaintiffs also seek a declaration that an event of credit support default has occurred under Section 5(a)(iii)(3) of the Swap Agreements in that El Paso, as Credit Support Provider, and EPME have undertaken an action that "disaffirms, disclaims, repudiates or rejects, in whole or in part, or challenges the validity of" the various agreements between the parties.  Exs. E &amp; F, ISDA Master Agreements, Section 5(a)(iii)(3).   </w:t>
      </w:r>
      <w:r>
        <w:rPr>
          <w:b/>
        </w:rPr>
        <w:t>[</w:t>
      </w:r>
      <w:r>
        <w:rPr/>
        <w:t xml:space="preserve">As a result of this event of credit support default, the Court should also declare that payments under the SWAP Agreements are to be accelerated in accordance with their terms.  </w:t>
      </w:r>
      <w:r>
        <w:rPr>
          <w:i/>
        </w:rPr>
        <w:t>See</w:t>
      </w:r>
      <w:r>
        <w:rPr/>
        <w:t xml:space="preserve"> Exs. E &amp; F, ISDA Master Agreements, Section 6.</w:t>
      </w:r>
      <w:r>
        <w:rPr>
          <w:b/>
        </w:rPr>
        <w:t>]</w:t>
      </w:r>
    </w:p>
    <w:p>
      <w:pPr>
        <w:pStyle w:val="Normal"/>
        <w:numPr>
          <w:ilvl w:val="0"/>
          <w:numId w:val="2"/>
        </w:numPr>
        <w:tabs>
          <w:tab w:val="clear" w:pos="720"/>
          <w:tab w:val="left" w:pos="2160" w:leader="none"/>
        </w:tabs>
        <w:spacing w:lineRule="auto" w:line="480"/>
        <w:rPr/>
      </w:pPr>
      <w:r>
        <w:rPr>
          <w:b/>
        </w:rPr>
        <w:t>[</w:t>
      </w:r>
      <w:r>
        <w:rPr/>
        <w:t>Plaintiffs further seek a declaration that the confidentiality provision in the SWAP Agreements does not prevent Enron from assigning the SWAP Agreements in an effort to monetize them.</w:t>
      </w:r>
      <w:r>
        <w:rPr>
          <w:b/>
        </w:rPr>
        <w:t>]</w:t>
      </w:r>
    </w:p>
    <w:p>
      <w:pPr>
        <w:pStyle w:val="Normal"/>
        <w:numPr>
          <w:ilvl w:val="0"/>
          <w:numId w:val="2"/>
        </w:numPr>
        <w:tabs>
          <w:tab w:val="clear" w:pos="720"/>
          <w:tab w:val="left" w:pos="2160" w:leader="none"/>
        </w:tabs>
        <w:spacing w:lineRule="auto" w:line="480"/>
        <w:rPr/>
      </w:pPr>
      <w:r>
        <w:rPr/>
        <w:t>Plaintiffs also seek their attorneys' fees and costs pursuant to section 37.009 of the Texas Civil Practice and Remedies Code, and to the Guaranty Agreements.</w:t>
      </w:r>
    </w:p>
    <w:p>
      <w:pPr>
        <w:pStyle w:val="BodyText"/>
        <w:numPr>
          <w:ilvl w:val="0"/>
          <w:numId w:val="0"/>
        </w:numPr>
        <w:jc w:val="center"/>
        <w:outlineLvl w:val="0"/>
        <w:rPr>
          <w:b/>
        </w:rPr>
      </w:pPr>
      <w:r>
        <w:rPr>
          <w:b/>
        </w:rPr>
        <w:t>PRAYER</w:t>
      </w:r>
    </w:p>
    <w:p>
      <w:pPr>
        <w:pStyle w:val="BodyTextFirstIndent"/>
        <w:rPr/>
      </w:pPr>
      <w:r>
        <w:rPr/>
        <w:t>WHEREFORE, plaintiffs pray for a declaratory judgment against defendants, that plaintiffs be awarded their costs and attorneys' fees incurred in prosecuting this action, and for such other relief as the Court deems just and appropriate.</w:t>
      </w:r>
    </w:p>
    <w:p>
      <w:pPr>
        <w:pStyle w:val="Normal"/>
        <w:spacing w:lineRule="auto" w:line="480"/>
        <w:rPr/>
      </w:pPr>
      <w:r>
        <w:rPr/>
        <w:tab/>
        <w:tab/>
        <w:tab/>
        <w:tab/>
        <w:tab/>
        <w:tab/>
        <w:tab/>
        <w:t>Respectfully submitted,</w:t>
      </w:r>
    </w:p>
    <w:p>
      <w:pPr>
        <w:pStyle w:val="Normal"/>
        <w:spacing w:lineRule="auto" w:line="480"/>
        <w:rPr/>
      </w:pPr>
      <w:r>
        <w:rPr/>
      </w:r>
    </w:p>
    <w:p>
      <w:pPr>
        <w:pStyle w:val="Normal"/>
        <w:rPr/>
      </w:pPr>
      <w:r>
        <w:rPr/>
        <w:tab/>
        <w:tab/>
        <w:tab/>
        <w:tab/>
        <w:tab/>
        <w:tab/>
        <w:tab/>
        <w:t>____________________</w:t>
      </w:r>
    </w:p>
    <w:p>
      <w:pPr>
        <w:pStyle w:val="Normal"/>
        <w:numPr>
          <w:ilvl w:val="0"/>
          <w:numId w:val="0"/>
        </w:numPr>
        <w:outlineLvl w:val="0"/>
        <w:rPr/>
      </w:pPr>
      <w:r>
        <w:rPr/>
        <w:tab/>
        <w:tab/>
        <w:tab/>
        <w:tab/>
        <w:tab/>
        <w:tab/>
        <w:tab/>
        <w:t>B. Daryl Bristow</w:t>
      </w:r>
    </w:p>
    <w:p>
      <w:pPr>
        <w:pStyle w:val="Normal"/>
        <w:numPr>
          <w:ilvl w:val="0"/>
          <w:numId w:val="0"/>
        </w:numPr>
        <w:outlineLvl w:val="0"/>
        <w:rPr/>
      </w:pPr>
      <w:r>
        <w:rPr/>
        <w:tab/>
        <w:tab/>
        <w:tab/>
        <w:tab/>
        <w:tab/>
        <w:tab/>
        <w:tab/>
        <w:t>State Bar No. 03020000</w:t>
      </w:r>
    </w:p>
    <w:p>
      <w:pPr>
        <w:pStyle w:val="Normal"/>
        <w:rPr/>
      </w:pPr>
      <w:r>
        <w:rPr/>
        <w:tab/>
        <w:tab/>
        <w:tab/>
        <w:tab/>
        <w:tab/>
        <w:tab/>
        <w:tab/>
        <w:t>James Edward Maloney</w:t>
      </w:r>
    </w:p>
    <w:p>
      <w:pPr>
        <w:pStyle w:val="Normal"/>
        <w:numPr>
          <w:ilvl w:val="0"/>
          <w:numId w:val="0"/>
        </w:numPr>
        <w:outlineLvl w:val="0"/>
        <w:rPr/>
      </w:pPr>
      <w:r>
        <w:rPr/>
        <w:tab/>
        <w:tab/>
        <w:tab/>
        <w:tab/>
        <w:tab/>
        <w:tab/>
        <w:tab/>
      </w:r>
      <w:r>
        <w:rPr>
          <w:color w:val="000000"/>
        </w:rPr>
        <w:t>State Bar No. 12881500</w:t>
      </w:r>
    </w:p>
    <w:p>
      <w:pPr>
        <w:pStyle w:val="Normal"/>
        <w:rPr>
          <w:color w:val="000000"/>
        </w:rPr>
      </w:pPr>
      <w:r>
        <w:rPr>
          <w:color w:val="000000"/>
        </w:rPr>
        <w:tab/>
        <w:tab/>
        <w:tab/>
        <w:tab/>
        <w:tab/>
        <w:tab/>
        <w:tab/>
        <w:t>Samuel W. Cooper</w:t>
      </w:r>
    </w:p>
    <w:p>
      <w:pPr>
        <w:pStyle w:val="Normal"/>
        <w:numPr>
          <w:ilvl w:val="0"/>
          <w:numId w:val="0"/>
        </w:numPr>
        <w:outlineLvl w:val="0"/>
        <w:rPr>
          <w:b/>
        </w:rPr>
      </w:pPr>
      <w:r>
        <w:rPr>
          <w:color w:val="000000"/>
        </w:rPr>
        <w:tab/>
        <w:tab/>
        <w:tab/>
        <w:tab/>
        <w:tab/>
        <w:tab/>
        <w:tab/>
        <w:t>State Bar No. 00792427</w:t>
      </w:r>
    </w:p>
    <w:p>
      <w:pPr>
        <w:pStyle w:val="Normal"/>
        <w:rPr/>
      </w:pPr>
      <w:r>
        <w:rPr>
          <w:b/>
        </w:rPr>
        <w:tab/>
        <w:tab/>
        <w:tab/>
        <w:tab/>
        <w:tab/>
        <w:tab/>
        <w:tab/>
      </w:r>
      <w:r>
        <w:rPr/>
        <w:t>Baker Botts L.L.P.</w:t>
      </w:r>
    </w:p>
    <w:p>
      <w:pPr>
        <w:pStyle w:val="Normal"/>
        <w:numPr>
          <w:ilvl w:val="0"/>
          <w:numId w:val="0"/>
        </w:numPr>
        <w:outlineLvl w:val="0"/>
        <w:rPr/>
      </w:pPr>
      <w:r>
        <w:rPr/>
        <w:tab/>
        <w:tab/>
        <w:tab/>
        <w:tab/>
        <w:tab/>
        <w:tab/>
        <w:tab/>
        <w:t>One Shell Plaza</w:t>
      </w:r>
    </w:p>
    <w:p>
      <w:pPr>
        <w:pStyle w:val="Normal"/>
        <w:rPr/>
      </w:pPr>
      <w:r>
        <w:rPr/>
        <w:tab/>
        <w:tab/>
        <w:tab/>
        <w:tab/>
        <w:tab/>
        <w:tab/>
        <w:tab/>
        <w:t>910 Louisiana Street</w:t>
      </w:r>
    </w:p>
    <w:p>
      <w:pPr>
        <w:pStyle w:val="Normal"/>
        <w:numPr>
          <w:ilvl w:val="0"/>
          <w:numId w:val="0"/>
        </w:numPr>
        <w:outlineLvl w:val="0"/>
        <w:rPr/>
      </w:pPr>
      <w:r>
        <w:rPr/>
        <w:tab/>
        <w:tab/>
        <w:tab/>
        <w:tab/>
        <w:tab/>
        <w:tab/>
        <w:tab/>
        <w:t>Houston, Texas  77002-4995</w:t>
      </w:r>
    </w:p>
    <w:p>
      <w:pPr>
        <w:pStyle w:val="Normal"/>
        <w:rPr/>
      </w:pPr>
      <w:r>
        <w:rPr/>
        <w:tab/>
        <w:tab/>
        <w:tab/>
        <w:tab/>
        <w:tab/>
        <w:tab/>
        <w:tab/>
        <w:t>713.229.1234</w:t>
      </w:r>
    </w:p>
    <w:p>
      <w:pPr>
        <w:pStyle w:val="Normal"/>
        <w:rPr/>
      </w:pPr>
      <w:r>
        <w:rPr/>
        <w:tab/>
        <w:tab/>
        <w:tab/>
        <w:tab/>
        <w:tab/>
        <w:tab/>
        <w:tab/>
        <w:t>713.229.1522 (Facsimile)</w:t>
      </w:r>
    </w:p>
    <w:p>
      <w:pPr>
        <w:pStyle w:val="Normal"/>
        <w:rPr/>
      </w:pPr>
      <w:r>
        <w:rPr/>
      </w:r>
    </w:p>
    <w:p>
      <w:pPr>
        <w:pStyle w:val="Normal"/>
        <w:rPr/>
      </w:pPr>
      <w:r>
        <w:rPr/>
        <w:tab/>
        <w:tab/>
        <w:tab/>
        <w:tab/>
        <w:tab/>
        <w:tab/>
        <w:tab/>
        <w:t xml:space="preserve">ATTORNEYS FOR ECTMI TRUTTA </w:t>
        <w:tab/>
        <w:tab/>
        <w:tab/>
        <w:tab/>
        <w:tab/>
        <w:tab/>
        <w:tab/>
        <w:tab/>
        <w:t xml:space="preserve">HOLDINGS L.P. AND EAST COAST </w:t>
        <w:tab/>
        <w:tab/>
        <w:tab/>
        <w:tab/>
        <w:tab/>
        <w:tab/>
        <w:tab/>
        <w:tab/>
        <w:t>POWER HOLDING COMPANY L.L.C.</w:t>
      </w:r>
    </w:p>
    <w:p>
      <w:pPr>
        <w:pStyle w:val="Normal"/>
        <w:rPr/>
      </w:pPr>
      <w:r>
        <w:rPr/>
        <w:tab/>
        <w:tab/>
        <w:tab/>
        <w:tab/>
        <w:tab/>
        <w:tab/>
        <w:tab/>
      </w:r>
    </w:p>
    <w:p>
      <w:pPr>
        <w:pStyle w:val="BodyText"/>
        <w:spacing w:before="0" w:after="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HOU02:795009.4</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0" w:firstLine="1440"/>
      </w:pPr>
      <w:rPr>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spacing w:lineRule="auto" w:line="480" w:before="0" w:after="0"/>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2001-05-08T13:20:00Z</dcterms:created>
  <dc:creator> </dc:creator>
  <dc:description>HOU02:795009.4</dc:description>
  <dc:language>en-CA</dc:language>
  <cp:lastModifiedBy> </cp:lastModifiedBy>
  <cp:lastPrinted>2001-05-09T08:20:00Z</cp:lastPrinted>
  <dcterms:modified xsi:type="dcterms:W3CDTF">2001-05-09T10:52:00Z</dcterms:modified>
  <cp:revision>11</cp:revision>
  <dc:subject/>
  <dc:title>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