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header2.xml.rels" ContentType="application/vnd.openxmlformats-package.relationship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footnotes.xml" ContentType="application/vnd.openxmlformats-officedocument.wordprocessingml.footnotes+xml"/>
  <Override PartName="/word/footer1.xml" ContentType="application/vnd.openxmlformats-officedocument.wordprocessingml.footer+xml"/>
  <Override PartName="/word/media/image1.bmp" ContentType="image/bmp"/>
  <Override PartName="/word/settings.xml" ContentType="application/vnd.openxmlformats-officedocument.wordprocessingml.settings+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embeddings/oleObject1.bin" ContentType="application/vnd.openxmlformats-officedocument.oleObject"/>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rPr>
          <w:rFonts w:ascii="Times New Roman" w:hAnsi="Times New Roman" w:cs="Times New Roman"/>
        </w:rPr>
      </w:pPr>
      <w:r>
        <w:rPr>
          <w:rFonts w:cs="Times New Roman" w:ascii="Times New Roman" w:hAnsi="Times New Roman"/>
        </w:rPr>
        <w:t>May 19, 1999</w:t>
      </w:r>
    </w:p>
    <w:p>
      <w:pPr>
        <w:pStyle w:val="Normal"/>
        <w:spacing w:before="0" w:after="0"/>
        <w:rPr/>
      </w:pPr>
      <w:r>
        <w:rPr/>
        <w:t>Ms. Jean A. Webb</w:t>
      </w:r>
    </w:p>
    <w:p>
      <w:pPr>
        <w:pStyle w:val="Normal"/>
        <w:spacing w:before="0" w:after="0"/>
        <w:rPr/>
      </w:pPr>
      <w:r>
        <w:rPr/>
        <w:t>Secretary</w:t>
      </w:r>
    </w:p>
    <w:p>
      <w:pPr>
        <w:pStyle w:val="Normal"/>
        <w:spacing w:before="0" w:after="0"/>
        <w:rPr/>
      </w:pPr>
      <w:r>
        <w:rPr/>
        <w:t>Office of the Secretariat</w:t>
      </w:r>
    </w:p>
    <w:p>
      <w:pPr>
        <w:pStyle w:val="Normal"/>
        <w:spacing w:before="0" w:after="0"/>
        <w:rPr/>
      </w:pPr>
      <w:r>
        <w:rPr/>
        <w:t>Commodity Futures Trading Commission</w:t>
      </w:r>
    </w:p>
    <w:p>
      <w:pPr>
        <w:pStyle w:val="Normal"/>
        <w:spacing w:before="0" w:after="0"/>
        <w:rPr/>
      </w:pPr>
      <w:r>
        <w:rPr/>
        <w:t>Three Lafayette Centre</w:t>
      </w:r>
    </w:p>
    <w:p>
      <w:pPr>
        <w:pStyle w:val="Normal"/>
        <w:spacing w:before="0" w:after="0"/>
        <w:rPr/>
      </w:pPr>
      <w:r>
        <w:rPr/>
        <w:t>1155 21st Street, N.W.</w:t>
      </w:r>
    </w:p>
    <w:p>
      <w:pPr>
        <w:pStyle w:val="Normal"/>
        <w:spacing w:before="0" w:after="0"/>
        <w:rPr/>
      </w:pPr>
      <w:r>
        <w:rPr/>
        <w:t>Washington, D.C.  20581</w:t>
      </w:r>
    </w:p>
    <w:p>
      <w:pPr>
        <w:pStyle w:val="Normal"/>
        <w:rPr/>
      </w:pPr>
      <w:r>
        <w:rPr/>
      </w:r>
    </w:p>
    <w:p>
      <w:pPr>
        <w:pStyle w:val="Normal"/>
        <w:ind w:hanging="810" w:start="1530" w:end="720"/>
        <w:rPr>
          <w:b/>
          <w:u w:val="single"/>
        </w:rPr>
      </w:pPr>
      <w:r>
        <w:rPr>
          <w:b/>
        </w:rPr>
        <w:t>Re:</w:t>
        <w:tab/>
        <w:t>Petition for Exemption Relief by the Commission under section 4(c) of the Commodity Exchange Act for Certain Contracts Involving Electric Energy</w:t>
      </w:r>
    </w:p>
    <w:p>
      <w:pPr>
        <w:pStyle w:val="Normal"/>
        <w:rPr/>
      </w:pPr>
      <w:r>
        <w:rPr/>
        <w:t>Dear Secretary Webb:</w:t>
      </w:r>
    </w:p>
    <w:p>
      <w:pPr>
        <w:pStyle w:val="Normal"/>
        <w:spacing w:lineRule="auto" w:line="360"/>
        <w:ind w:firstLine="720" w:end="0"/>
        <w:rPr/>
      </w:pPr>
      <w:r>
        <w:rPr/>
        <w:t>The companies listed below (the “Electric Energy Group”)</w:t>
      </w:r>
      <w:r>
        <w:rPr>
          <w:rStyle w:val="FootnoteCharacters"/>
          <w:rStyle w:val="FootnoteReference"/>
        </w:rPr>
        <w:footnoteReference w:id="2"/>
      </w:r>
      <w:r>
        <w:rPr/>
        <w:t xml:space="preserve">, by their attorneys Cameron McKenna LLP, hereby petition the Commodity Futures Trading Commission (the “Commission”) to grant exemption from provisions of the Commodity Exchange Act (the “Act”) with respect to certain contracts for the purchase and sale of electric energy commodities (“Electric Energy”) which satisfy the criteria identified below (“Electric Energy Exemption”).  The exemption requested herein is being sought under Section 4(c) of the Act which grants the Commission the authority to exempt “any agreement, contract or transaction (or class thereof)” from the off-exchange trading prohibition imposed under Section 4(a) of the Act and from any other provisions of the Act. </w:t>
      </w:r>
      <w:r>
        <w:br w:type="page"/>
      </w:r>
    </w:p>
    <w:p>
      <w:pPr>
        <w:pStyle w:val="Normal"/>
        <w:keepNext w:val="true"/>
        <w:numPr>
          <w:ilvl w:val="0"/>
          <w:numId w:val="2"/>
        </w:numPr>
        <w:spacing w:lineRule="auto" w:line="360" w:before="0" w:after="120"/>
        <w:rPr>
          <w:b/>
          <w:u w:val="single"/>
        </w:rPr>
      </w:pPr>
      <w:r>
        <w:rPr>
          <w:b/>
          <w:u w:val="single"/>
        </w:rPr>
        <w:t>Summary</w:t>
      </w:r>
    </w:p>
    <w:p>
      <w:pPr>
        <w:pStyle w:val="Normal"/>
        <w:keepNext w:val="true"/>
        <w:spacing w:lineRule="auto" w:line="360"/>
        <w:ind w:firstLine="720" w:end="0"/>
        <w:rPr/>
      </w:pPr>
      <w:r>
        <w:rPr/>
        <w:t>In substance, this petition requests that exemptions similar to those previously granted for certain oil and gas energy contracts (“Energy Contracts”) in the previously granted “Energy Exemption”</w:t>
      </w:r>
      <w:r>
        <w:rPr>
          <w:rStyle w:val="FootnoteCharacters"/>
          <w:rStyle w:val="FootnoteReference"/>
        </w:rPr>
        <w:footnoteReference w:id="3"/>
      </w:r>
      <w:r>
        <w:rPr/>
        <w:t xml:space="preserve"> be extended to certain contracts for Electric Energy.</w:t>
      </w:r>
    </w:p>
    <w:p>
      <w:pPr>
        <w:pStyle w:val="Normal"/>
        <w:keepNext w:val="true"/>
        <w:numPr>
          <w:ilvl w:val="0"/>
          <w:numId w:val="2"/>
        </w:numPr>
        <w:spacing w:lineRule="auto" w:line="360"/>
        <w:rPr>
          <w:b/>
        </w:rPr>
      </w:pPr>
      <w:r>
        <w:rPr>
          <w:b/>
          <w:u w:val="single"/>
        </w:rPr>
        <w:t>Statutory Framework</w:t>
      </w:r>
    </w:p>
    <w:p>
      <w:pPr>
        <w:pStyle w:val="Normal"/>
        <w:keepNext w:val="true"/>
        <w:spacing w:lineRule="auto" w:line="360"/>
        <w:ind w:firstLine="720" w:end="0"/>
        <w:rPr/>
      </w:pPr>
      <w:r>
        <w:rPr/>
        <w:t xml:space="preserve">The Commodity Exchange Act, 7 U.S.C. 1 </w:t>
      </w:r>
      <w:r>
        <w:rPr>
          <w:i/>
        </w:rPr>
        <w:t>et seq.</w:t>
      </w:r>
      <w:r>
        <w:rPr/>
        <w:t xml:space="preserve"> (“Act”) grants the Commodity Trading Commission (“Commission”) exclusive jurisdiction over accounts, agreements and transactions involving contracts for the sale of a commodity for future delivery traded on a contract market or any other board of trade, exchange or market.</w:t>
      </w:r>
      <w:r>
        <w:rPr>
          <w:rStyle w:val="FootnoteCharacters"/>
          <w:rStyle w:val="FootnoteReference"/>
        </w:rPr>
        <w:footnoteReference w:id="4"/>
      </w:r>
      <w:r>
        <w:rPr/>
        <w:t xml:space="preserve"> The Act and Commission rules require that transactions in commodity futures contracts and commodity option contracts, with narrowly defined exceptions, occur on or subject to the rules of contract markets designated by the Commission.</w:t>
      </w:r>
      <w:r>
        <w:rPr>
          <w:rStyle w:val="FootnoteCharacters"/>
          <w:rStyle w:val="FootnoteReference"/>
        </w:rPr>
        <w:footnoteReference w:id="5"/>
      </w:r>
    </w:p>
    <w:p>
      <w:pPr>
        <w:pStyle w:val="Normal"/>
        <w:spacing w:lineRule="auto" w:line="360"/>
        <w:ind w:firstLine="720" w:end="0"/>
        <w:rPr/>
      </w:pPr>
      <w:r>
        <w:rPr/>
        <w:t>Under CEA section 4(c)(1) the Commission is authorized to exempt, by rule, regulation or order any agreement, contract or transaction (or class thereof) from the exchange-trading requirements of section 4(a) or any other requirement of the Act other than section 2(a)(1)(B).</w:t>
      </w:r>
      <w:r>
        <w:rPr>
          <w:rStyle w:val="FootnoteCharacters"/>
          <w:rStyle w:val="FootnoteReference"/>
        </w:rPr>
        <w:footnoteReference w:id="6"/>
      </w:r>
    </w:p>
    <w:p>
      <w:pPr>
        <w:pStyle w:val="Normal"/>
        <w:spacing w:lineRule="auto" w:line="360"/>
        <w:ind w:firstLine="720" w:end="0"/>
        <w:rPr/>
      </w:pPr>
      <w:r>
        <w:rPr/>
        <w:t>CEA section 4(c)(2) states that the Commission may grant an exemption if the agreement, contract or transaction in question will be entered into solely between “appropriate persons”, as defined in CEA section 4(c)(3).</w:t>
      </w:r>
    </w:p>
    <w:p>
      <w:pPr>
        <w:pStyle w:val="Normal"/>
        <w:spacing w:lineRule="auto" w:line="360"/>
        <w:ind w:firstLine="720" w:end="0"/>
        <w:rPr/>
      </w:pPr>
      <w:r>
        <w:rPr/>
        <w:t>Section 4(c) requires that the Commission must specifically determine that the exchange trading requirements of section 4(a) should not be applied and that the agreement, contract or transaction will not materially adversely affect the ability of the Commission (or any contract market) to discharge its regulatory or self-regulatory duties under the CEA, and that the exemption would be consistent with the purposes of the CEA and in the public interest.</w:t>
      </w:r>
      <w:r>
        <w:rPr>
          <w:rStyle w:val="FootnoteCharacters"/>
          <w:rStyle w:val="FootnoteReference"/>
        </w:rPr>
        <w:footnoteReference w:id="7"/>
      </w:r>
    </w:p>
    <w:p>
      <w:pPr>
        <w:pStyle w:val="Normal"/>
        <w:keepNext w:val="true"/>
        <w:numPr>
          <w:ilvl w:val="0"/>
          <w:numId w:val="2"/>
        </w:numPr>
        <w:spacing w:lineRule="auto" w:line="360"/>
        <w:rPr>
          <w:b/>
        </w:rPr>
      </w:pPr>
      <w:r>
        <w:rPr>
          <w:b/>
          <w:u w:val="single"/>
        </w:rPr>
        <w:t>The Energy Exemption</w:t>
      </w:r>
    </w:p>
    <w:p>
      <w:pPr>
        <w:pStyle w:val="Normal"/>
        <w:keepNext w:val="true"/>
        <w:spacing w:lineRule="auto" w:line="360"/>
        <w:ind w:firstLine="720" w:end="0"/>
        <w:rPr/>
      </w:pPr>
      <w:r>
        <w:rPr/>
        <w:t>On April 20</w:t>
      </w:r>
      <w:r>
        <w:rPr>
          <w:vertAlign w:val="superscript"/>
        </w:rPr>
        <w:t>th</w:t>
      </w:r>
      <w:r>
        <w:rPr/>
        <w:t>, 1993, the Commission issued an Order Exempting from Regulation Certain Energy Contracts used by certain commercial entities that engaged in the production, refining, processing or merchandising of crude oil, condensates, natural gas, natural gas liquids or their derivatives which are used primarily as an energy source (“Energy Exemption”).</w:t>
      </w:r>
      <w:r>
        <w:rPr>
          <w:rStyle w:val="FootnoteCharacters"/>
          <w:rStyle w:val="FootnoteReference"/>
        </w:rPr>
        <w:footnoteReference w:id="8"/>
      </w:r>
    </w:p>
    <w:p>
      <w:pPr>
        <w:pStyle w:val="Normal"/>
        <w:spacing w:lineRule="auto" w:line="360"/>
        <w:ind w:firstLine="720" w:end="0"/>
        <w:rPr/>
      </w:pPr>
      <w:r>
        <w:rPr/>
        <w:t>In issuing its Final Order, the Commission made the following findings:</w:t>
      </w:r>
    </w:p>
    <w:p>
      <w:pPr>
        <w:pStyle w:val="Normal"/>
        <w:spacing w:lineRule="auto" w:line="360"/>
        <w:ind w:hanging="720" w:start="1440" w:end="720"/>
        <w:jc w:val="both"/>
        <w:rPr/>
      </w:pPr>
      <w:r>
        <w:rPr/>
        <w:t>1.</w:t>
        <w:tab/>
        <w:t xml:space="preserve">The Commission found that granting Energy Exemption Order was consistent with the intention of Congress to grant exemptive authority to the Commission under section number 4(c) to permit the Commission to </w:t>
      </w:r>
    </w:p>
    <w:p>
      <w:pPr>
        <w:pStyle w:val="Normal"/>
        <w:spacing w:lineRule="auto" w:line="360"/>
        <w:ind w:start="1440" w:end="591"/>
        <w:jc w:val="both"/>
        <w:rPr/>
      </w:pPr>
      <w:r>
        <w:rPr/>
        <w:t>“</w:t>
      </w:r>
      <w:r>
        <w:rPr/>
        <w:t>recognize the need to create legal certainty for a number of existing categories of instrument which today trade outside the forum of a designated contract market. ... ([Particularly with respect to] ... four areas where significant concerns/uncertainty have arisen: (1) hybrids, (2) swaps, (3) forwards and (4) bank deposits and accounts.</w:t>
      </w:r>
      <w:r>
        <w:rPr>
          <w:rStyle w:val="FootnoteCharacters"/>
          <w:rStyle w:val="FootnoteReference"/>
        </w:rPr>
        <w:footnoteReference w:id="9"/>
      </w:r>
    </w:p>
    <w:p>
      <w:pPr>
        <w:pStyle w:val="Normal"/>
        <w:spacing w:lineRule="auto" w:line="360"/>
        <w:ind w:hanging="720" w:start="1440" w:end="720"/>
        <w:jc w:val="both"/>
        <w:rPr/>
      </w:pPr>
      <w:r>
        <w:rPr/>
        <w:t>2.</w:t>
        <w:tab/>
        <w:t xml:space="preserve">“... [R]egardless of the Commission’s position on the appropriate characterization for specific types of transactions, the status of some of these transactions under the Act appears likely to be subject to continued dispute, </w:t>
      </w:r>
      <w:r>
        <w:rPr>
          <w:b/>
        </w:rPr>
        <w:t>and this potential for uncertainty provides a sufficient basis for the exercise of exemptive authority</w:t>
      </w:r>
      <w:r>
        <w:rPr/>
        <w:t xml:space="preserve"> as to these transactions.”</w:t>
      </w:r>
      <w:r>
        <w:rPr>
          <w:rStyle w:val="FootnoteCharacters"/>
          <w:rStyle w:val="FootnoteReference"/>
        </w:rPr>
        <w:footnoteReference w:id="10"/>
      </w:r>
    </w:p>
    <w:p>
      <w:pPr>
        <w:pStyle w:val="Normal"/>
        <w:spacing w:lineRule="auto" w:line="360"/>
        <w:ind w:firstLine="720" w:end="0"/>
        <w:rPr/>
      </w:pPr>
      <w:r>
        <w:rPr/>
        <w:t>In providing such legal clarity with respect to these Energy Contracts, the Commission recognized that by confining its order to those transactions it was “not thereby making a determining regarding, or otherwise determining the legality or status of, any other type of transaction or superseding any other rule or interpretation.”</w:t>
      </w:r>
      <w:r>
        <w:rPr>
          <w:rStyle w:val="FootnoteCharacters"/>
          <w:rStyle w:val="FootnoteReference"/>
        </w:rPr>
        <w:footnoteReference w:id="11"/>
      </w:r>
    </w:p>
    <w:p>
      <w:pPr>
        <w:pStyle w:val="Normal"/>
        <w:spacing w:lineRule="auto" w:line="360"/>
        <w:ind w:firstLine="720" w:end="0"/>
        <w:rPr/>
      </w:pPr>
      <w:r>
        <w:rPr/>
        <w:t>Although the Commission pointed out that it was, in granting the Order, responding to a specific request to exempt “certain transactions as described therein in specified commodities”</w:t>
      </w:r>
      <w:r>
        <w:rPr>
          <w:rStyle w:val="FootnoteCharacters"/>
          <w:rStyle w:val="FootnoteReference"/>
        </w:rPr>
        <w:footnoteReference w:id="12"/>
      </w:r>
      <w:r>
        <w:rPr/>
        <w:t xml:space="preserve"> it was not the intention of the Commission to limit the exemption solely to these Energy Contracts.  </w:t>
      </w:r>
    </w:p>
    <w:p>
      <w:pPr>
        <w:pStyle w:val="Normal"/>
        <w:spacing w:lineRule="auto" w:line="360"/>
        <w:ind w:firstLine="720" w:end="0"/>
        <w:rPr/>
      </w:pPr>
      <w:r>
        <w:rPr/>
        <w:t>The Commission stated in its Final Order:</w:t>
      </w:r>
    </w:p>
    <w:p>
      <w:pPr>
        <w:pStyle w:val="Normal"/>
        <w:spacing w:lineRule="auto" w:line="360"/>
        <w:ind w:start="1440" w:end="404"/>
        <w:rPr/>
      </w:pPr>
      <w:r>
        <w:rPr/>
        <w:t>The Commission did not intend that inclusion of a particular product within the exemption rest upon a subjective test of intent as to its use as an energy source.  . . .   The Commission did not mean to exempt only transactions for those specific shipments of specified products which are used as an energy source.</w:t>
      </w:r>
      <w:r>
        <w:rPr>
          <w:rStyle w:val="FootnoteCharacters"/>
          <w:rStyle w:val="FootnoteReference"/>
        </w:rPr>
        <w:footnoteReference w:id="13"/>
      </w:r>
    </w:p>
    <w:p>
      <w:pPr>
        <w:pStyle w:val="Normal"/>
        <w:spacing w:lineRule="auto" w:line="360"/>
        <w:ind w:firstLine="720" w:end="0"/>
        <w:rPr/>
      </w:pPr>
      <w:r>
        <w:rPr/>
        <w:t>The Commission included in the Energy Exemption “commercial participants” which it described in the Order as those parties</w:t>
      </w:r>
    </w:p>
    <w:p>
      <w:pPr>
        <w:pStyle w:val="Normal"/>
        <w:tabs>
          <w:tab w:val="clear" w:pos="720"/>
          <w:tab w:val="left" w:pos="1440" w:leader="none"/>
        </w:tabs>
        <w:spacing w:lineRule="auto" w:line="360"/>
        <w:ind w:start="720" w:end="0"/>
        <w:rPr/>
      </w:pPr>
      <w:r>
        <w:rPr/>
        <w:t>(A)</w:t>
        <w:tab/>
        <w:t>who, in connection with their business activities:</w:t>
      </w:r>
    </w:p>
    <w:p>
      <w:pPr>
        <w:pStyle w:val="Normal"/>
        <w:spacing w:lineRule="auto" w:line="360"/>
        <w:ind w:hanging="720" w:start="2160" w:end="0"/>
        <w:jc w:val="both"/>
        <w:rPr/>
      </w:pPr>
      <w:r>
        <w:rPr/>
        <w:t>(1)</w:t>
        <w:tab/>
        <w:t>incur risks, in addition to price risk, related to the underlying physical commodities;</w:t>
      </w:r>
    </w:p>
    <w:p>
      <w:pPr>
        <w:pStyle w:val="Normal"/>
        <w:spacing w:lineRule="auto" w:line="360"/>
        <w:ind w:hanging="720" w:start="2160" w:end="0"/>
        <w:jc w:val="both"/>
        <w:rPr/>
      </w:pPr>
      <w:r>
        <w:rPr/>
        <w:t>(2)</w:t>
        <w:tab/>
        <w:t xml:space="preserve">have a demonstrable capacity or ability, directly or through separate </w:t>
      </w:r>
      <w:r>
        <w:rPr>
          <w:i/>
        </w:rPr>
        <w:t>bona fide</w:t>
      </w:r>
      <w:r>
        <w:rPr/>
        <w:t xml:space="preserve"> contractual arrangements, to make or take delivery under the terms of the contracts; </w:t>
      </w:r>
    </w:p>
    <w:p>
      <w:pPr>
        <w:pStyle w:val="Normal"/>
        <w:spacing w:lineRule="auto" w:line="360"/>
        <w:ind w:hanging="720" w:start="2160" w:end="0"/>
        <w:jc w:val="both"/>
        <w:rPr/>
      </w:pPr>
      <w:r>
        <w:rPr/>
        <w:t>(3)</w:t>
        <w:tab/>
        <w:t>are not prohibited by law or regulation from entering into such Energy Contracts;</w:t>
      </w:r>
    </w:p>
    <w:p>
      <w:pPr>
        <w:pStyle w:val="Normal"/>
        <w:spacing w:lineRule="auto" w:line="360"/>
        <w:ind w:hanging="720" w:start="2160" w:end="0"/>
        <w:jc w:val="both"/>
        <w:rPr/>
      </w:pPr>
      <w:r>
        <w:rPr/>
        <w:t>(4)</w:t>
        <w:tab/>
        <w:t>are not formed solely for the specific purpose of constituting an eligible entity pursuant to this Order; and</w:t>
      </w:r>
    </w:p>
    <w:p>
      <w:pPr>
        <w:pStyle w:val="Normal"/>
        <w:spacing w:lineRule="auto" w:line="360"/>
        <w:ind w:hanging="720" w:start="2160" w:end="0"/>
        <w:jc w:val="both"/>
        <w:rPr/>
      </w:pPr>
      <w:r>
        <w:rPr/>
        <w:t>(5)</w:t>
        <w:tab/>
        <w:t>qualify as one of the following entities:</w:t>
      </w:r>
    </w:p>
    <w:p>
      <w:pPr>
        <w:pStyle w:val="Normal"/>
        <w:spacing w:lineRule="auto" w:line="360"/>
        <w:ind w:hanging="720" w:start="2880" w:end="0"/>
        <w:jc w:val="both"/>
        <w:rPr/>
      </w:pPr>
      <w:r>
        <w:rPr/>
        <w:t>(i)</w:t>
        <w:tab/>
        <w:t>A bank or trust company;</w:t>
      </w:r>
    </w:p>
    <w:p>
      <w:pPr>
        <w:pStyle w:val="Normal"/>
        <w:spacing w:lineRule="auto" w:line="360"/>
        <w:ind w:hanging="720" w:start="2880" w:end="0"/>
        <w:jc w:val="both"/>
        <w:rPr/>
      </w:pPr>
      <w:r>
        <w:rPr/>
        <w:t>(ii)</w:t>
        <w:tab/>
        <w:t>A corporation, partnership, proprietorship, organization, trust, or other business entity with a net worth exceeding $1,000,000 or total assets exceeding $5,000,000, or the obligations of which under the agreement, contract or transaction are guaranteed or otherwise supported by a letter of credit or keepwell support, or other agreement by any such entity or by an entity referred to in sub-sections (A), (B), (C), (H), (I), or (J) of section 4(c)(3);</w:t>
      </w:r>
    </w:p>
    <w:p>
      <w:pPr>
        <w:pStyle w:val="Normal"/>
        <w:spacing w:lineRule="auto" w:line="360"/>
        <w:ind w:hanging="720" w:start="2880" w:end="0"/>
        <w:jc w:val="both"/>
        <w:rPr/>
      </w:pPr>
      <w:r>
        <w:rPr/>
        <w:t>(iii)</w:t>
        <w:tab/>
        <w:t>A broker-dealer subject to regulation under the Securities Exchange Act of 1934 (15 U.S.C. 78a et seq.);</w:t>
      </w:r>
    </w:p>
    <w:p>
      <w:pPr>
        <w:pStyle w:val="Normal"/>
        <w:spacing w:lineRule="auto" w:line="360"/>
        <w:ind w:hanging="720" w:start="2880" w:end="0"/>
        <w:jc w:val="both"/>
        <w:rPr/>
      </w:pPr>
      <w:r>
        <w:rPr/>
        <w:t>(iv)</w:t>
        <w:tab/>
        <w:t>A futures commission merchant subject to regulation under the Act; or</w:t>
      </w:r>
    </w:p>
    <w:p>
      <w:pPr>
        <w:pStyle w:val="Normal"/>
        <w:spacing w:lineRule="auto" w:line="360"/>
        <w:ind w:hanging="720" w:start="1440" w:end="0"/>
        <w:jc w:val="both"/>
        <w:rPr/>
      </w:pPr>
      <w:r>
        <w:rPr/>
        <w:t>(B)</w:t>
        <w:tab/>
        <w:t xml:space="preserve">Any government entity (including the United States, any state, any municipality or any foreign government) or political subdivision thereof, or any multinational or supranational entity or any instrumentality, agency or department of any of the foregoing; ... </w:t>
      </w:r>
      <w:r>
        <w:rPr>
          <w:rStyle w:val="FootnoteCharacters"/>
          <w:rStyle w:val="FootnoteReference"/>
        </w:rPr>
        <w:footnoteReference w:id="14"/>
      </w:r>
    </w:p>
    <w:p>
      <w:pPr>
        <w:pStyle w:val="Normal"/>
        <w:spacing w:lineRule="auto" w:line="360"/>
        <w:ind w:hanging="851" w:start="1571" w:end="0"/>
        <w:jc w:val="both"/>
        <w:rPr/>
      </w:pPr>
      <w:r>
        <w:rPr/>
      </w:r>
    </w:p>
    <w:p>
      <w:pPr>
        <w:pStyle w:val="Normal"/>
        <w:spacing w:lineRule="auto" w:line="360"/>
        <w:ind w:start="1440" w:end="0"/>
        <w:jc w:val="both"/>
        <w:rPr/>
      </w:pPr>
      <w:r>
        <w:rPr/>
        <w:t>... this Order also encompasses persons offering, entering into, rendering advice or rendering other services with respect to the agreement, contract, or transaction which is the subject of this Order, for such activity.”</w:t>
      </w:r>
    </w:p>
    <w:p>
      <w:pPr>
        <w:pStyle w:val="Normal"/>
        <w:spacing w:lineRule="auto" w:line="360"/>
        <w:ind w:start="1571" w:end="0"/>
        <w:rPr/>
      </w:pPr>
      <w:r>
        <w:rPr/>
      </w:r>
    </w:p>
    <w:p>
      <w:pPr>
        <w:pStyle w:val="Normal"/>
        <w:spacing w:lineRule="auto" w:line="360"/>
        <w:ind w:firstLine="720" w:end="0"/>
        <w:rPr/>
      </w:pPr>
      <w:r>
        <w:rPr/>
        <w:t>As can be seen from above, the Commission’s Order included not only major contract principles but also brokers, agents and advisers used in connection with the Energy Contracts.</w:t>
      </w:r>
      <w:r>
        <w:rPr>
          <w:rStyle w:val="FootnoteCharacters"/>
          <w:rStyle w:val="FootnoteReference"/>
        </w:rPr>
        <w:footnoteReference w:id="15"/>
      </w:r>
    </w:p>
    <w:p>
      <w:pPr>
        <w:pStyle w:val="Normal"/>
        <w:spacing w:lineRule="auto" w:line="360"/>
        <w:ind w:firstLine="720" w:end="0"/>
        <w:rPr/>
      </w:pPr>
      <w:r>
        <w:rPr/>
        <w:t>The Commission’s Order makes it clear that the Order exempts the Energy Contracts in question:</w:t>
      </w:r>
    </w:p>
    <w:p>
      <w:pPr>
        <w:pStyle w:val="Normal"/>
        <w:spacing w:lineRule="auto" w:line="360"/>
        <w:ind w:start="1440" w:end="590"/>
        <w:jc w:val="both"/>
        <w:rPr/>
      </w:pPr>
      <w:r>
        <w:rPr/>
        <w:t>“</w:t>
      </w:r>
      <w:r>
        <w:rPr/>
        <w:t xml:space="preserve">from all provisions of the Commodity Exchange Act, 7 U.S.C. 1 </w:t>
      </w:r>
      <w:r>
        <w:rPr>
          <w:i/>
        </w:rPr>
        <w:t>et seq.,</w:t>
      </w:r>
      <w:r>
        <w:rPr/>
        <w:t xml:space="preserve"> except sections 2(a)(1)(B) of the Act and the provision of sections 6(c), 6c, 6(d) and 9(a)(2) of the Act, to the extent that these provisions prohibit manipulation of the market price of any commodity in interstate commerce or for future delivery on or subject to the rules of any contract market ...”</w:t>
      </w:r>
      <w:r>
        <w:rPr>
          <w:rStyle w:val="FootnoteCharacters"/>
          <w:rStyle w:val="FootnoteReference"/>
        </w:rPr>
        <w:footnoteReference w:id="16"/>
      </w:r>
    </w:p>
    <w:p>
      <w:pPr>
        <w:pStyle w:val="Normal"/>
        <w:spacing w:lineRule="auto" w:line="360"/>
        <w:ind w:firstLine="720" w:end="0"/>
        <w:rPr/>
      </w:pPr>
      <w:r>
        <w:rPr/>
        <w:t>The Energy Contracts covered by the Order are specifically:</w:t>
      </w:r>
    </w:p>
    <w:p>
      <w:pPr>
        <w:pStyle w:val="Normal"/>
        <w:spacing w:lineRule="auto" w:line="360"/>
        <w:ind w:start="1440" w:end="590"/>
        <w:rPr/>
      </w:pPr>
      <w:r>
        <w:rPr/>
        <w:t>“</w:t>
      </w:r>
      <w:r>
        <w:rPr/>
        <w:t>Contracts for the purchase and sale of crude oil, condesates, natural gas, natural gas liquids or their derivatives which are primarily used as an energy source, and which:</w:t>
      </w:r>
    </w:p>
    <w:p>
      <w:pPr>
        <w:pStyle w:val="Normal"/>
        <w:spacing w:lineRule="auto" w:line="360"/>
        <w:ind w:hanging="720" w:start="2160" w:end="591"/>
        <w:rPr/>
      </w:pPr>
      <w:r>
        <w:rPr/>
        <w:t>(1)</w:t>
        <w:tab/>
        <w:t>Are entered into by and between participants covered by this Order, having at initiation of the contract a reasonable basis to believe that its counterparty is also within the terms of this Order;</w:t>
      </w:r>
    </w:p>
    <w:p>
      <w:pPr>
        <w:pStyle w:val="Normal"/>
        <w:spacing w:lineRule="auto" w:line="360"/>
        <w:ind w:hanging="720" w:start="2160" w:end="591"/>
        <w:rPr/>
      </w:pPr>
      <w:r>
        <w:rPr/>
        <w:t>(2)</w:t>
        <w:tab/>
        <w:t>Are bilateral contracts between two parties acting as principals, the material economic terms of which are subject to individual negotiation by the parties; and</w:t>
      </w:r>
    </w:p>
    <w:p>
      <w:pPr>
        <w:pStyle w:val="Normal"/>
        <w:spacing w:lineRule="auto" w:line="360" w:before="0" w:after="360"/>
        <w:ind w:hanging="720" w:start="2160" w:end="591"/>
        <w:rPr/>
      </w:pPr>
      <w:r>
        <w:rPr/>
        <w:t>(3)</w:t>
        <w:tab/>
        <w:t xml:space="preserve">Impose binding obligations on the parties to make and receive delivery of the underlying commodity or commodities, with no right of either party to effect a cash settlement of their obligations without the consent of the other party (except pursuant to a </w:t>
      </w:r>
      <w:r>
        <w:rPr>
          <w:i/>
        </w:rPr>
        <w:t>bona fide</w:t>
      </w:r>
      <w:r>
        <w:rPr/>
        <w:t xml:space="preserve"> termination right), </w:t>
      </w:r>
      <w:r>
        <w:rPr>
          <w:i/>
        </w:rPr>
        <w:t>provided, however,</w:t>
      </w:r>
      <w:r>
        <w:rPr/>
        <w:t xml:space="preserve"> that the parties may enter into a subsequent book out, book transfer, or other such contract which provides for settlement of the obligation in a manner other than by physical delivery of the commodity specified in the contract.”</w:t>
      </w:r>
      <w:r>
        <w:rPr>
          <w:rStyle w:val="FootnoteCharacters"/>
          <w:rStyle w:val="FootnoteReference"/>
        </w:rPr>
        <w:footnoteReference w:id="17"/>
      </w:r>
    </w:p>
    <w:p>
      <w:pPr>
        <w:pStyle w:val="Normal"/>
        <w:keepNext w:val="true"/>
        <w:numPr>
          <w:ilvl w:val="0"/>
          <w:numId w:val="2"/>
        </w:numPr>
        <w:spacing w:lineRule="auto" w:line="360"/>
        <w:rPr>
          <w:b/>
        </w:rPr>
      </w:pPr>
      <w:r>
        <w:rPr>
          <w:b/>
          <w:u w:val="single"/>
        </w:rPr>
        <w:t>Similarly Situated Electric Energy Contracts</w:t>
      </w:r>
    </w:p>
    <w:p>
      <w:pPr>
        <w:pStyle w:val="Normal"/>
        <w:keepNext w:val="true"/>
        <w:spacing w:lineRule="auto" w:line="360"/>
        <w:ind w:firstLine="720" w:end="0"/>
        <w:rPr/>
      </w:pPr>
      <w:r>
        <w:rPr/>
        <w:t>At the time the Energy Exemption became effective (May 20th, 1993), an open market for the trading of electricity (“Electric Energy”) did not exist in the United States and therefore the impact of the Energy Exemption on the trading of Electric Energy was not specifically discussed.  The Energy Exemption concentrated on the market trading of other energy products.</w:t>
      </w:r>
    </w:p>
    <w:p>
      <w:pPr>
        <w:pStyle w:val="Normal"/>
        <w:spacing w:lineRule="auto" w:line="360"/>
        <w:ind w:firstLine="720" w:end="0"/>
        <w:rPr/>
      </w:pPr>
      <w:r>
        <w:rPr/>
        <w:t>However, the situation has changed radically.  As a result of the Energy Policy Act of 1992</w:t>
      </w:r>
      <w:r>
        <w:rPr>
          <w:rStyle w:val="FootnoteCharacters"/>
          <w:rStyle w:val="FootnoteReference"/>
        </w:rPr>
        <w:footnoteReference w:id="18"/>
      </w:r>
      <w:r>
        <w:rPr/>
        <w:t xml:space="preserve"> and state movements electricity restructuring and retail competition, many states have issued directives requiring the opening up of electricity supply markets, including generation, distribution and marketing, throughout the U.S.</w:t>
      </w:r>
    </w:p>
    <w:p>
      <w:pPr>
        <w:pStyle w:val="Normal"/>
        <w:spacing w:lineRule="auto" w:line="360"/>
        <w:ind w:firstLine="720" w:end="0"/>
        <w:rPr/>
      </w:pPr>
      <w:r>
        <w:rPr/>
        <w:t xml:space="preserve">The result is that markets trading in electricity have started to develop similar to markets trading in other energy products such as crude oil and gas.  </w:t>
      </w:r>
    </w:p>
    <w:p>
      <w:pPr>
        <w:pStyle w:val="Normal"/>
        <w:spacing w:lineRule="auto" w:line="360"/>
        <w:ind w:firstLine="720" w:end="0"/>
        <w:rPr/>
      </w:pPr>
      <w:r>
        <w:rPr/>
        <w:t>In the past, the limited number of regulated monopolies that were responsible for producing, distributing and marketing electricity were conceded certain methods of hedging future price risk which permitted them to recover their costs (by passing costs along to customers) and earn a defined margin above cost.</w:t>
      </w:r>
    </w:p>
    <w:p>
      <w:pPr>
        <w:pStyle w:val="Normal"/>
        <w:spacing w:lineRule="auto" w:line="360"/>
        <w:ind w:firstLine="720" w:end="0"/>
        <w:rPr/>
      </w:pPr>
      <w:r>
        <w:rPr/>
        <w:t>With the imposition of the new requirements, regarding the generation, distribution and sale of Electric Energy a new competitive market in Electric Energy has been mandated.  Consequently, the above methods of protecting against future price risk are increasingly unavailable to participants in the Electric Energy markets.  Their revenues are now limited by market prices.  In order that Electric Energy providers, distributors and purchasers be able to plan their future costs and future revenues so as to provide consistent supplies of power at foreseeable charge rates to both commercial and domestic customers, these market participants must have available the same types of price protection tools which are currently made available to participants in the markets now clearly covered by the Energy Exemption.</w:t>
      </w:r>
    </w:p>
    <w:p>
      <w:pPr>
        <w:pStyle w:val="Normal"/>
        <w:spacing w:lineRule="auto" w:line="360" w:before="0" w:after="360"/>
        <w:ind w:firstLine="720" w:end="0"/>
        <w:rPr/>
      </w:pPr>
      <w:r>
        <w:rPr/>
        <w:t>Consequently, the Electric Energy Group requests exemption from section 4(c) to extend to Electric Energy the same types of financial hedging tools which are currently made available to participants in the other energy markets by the Energy Exemption.  The Electric Energy Group requests an exemption, for Electric Energy which extends to parties and contracts of the type described in the Energy Exemption, but which relate to Electric Energy.</w:t>
      </w:r>
    </w:p>
    <w:p>
      <w:pPr>
        <w:pStyle w:val="Normal"/>
        <w:keepNext w:val="true"/>
        <w:numPr>
          <w:ilvl w:val="0"/>
          <w:numId w:val="2"/>
        </w:numPr>
        <w:spacing w:lineRule="auto" w:line="360"/>
        <w:rPr>
          <w:b/>
          <w:u w:val="single"/>
        </w:rPr>
      </w:pPr>
      <w:r>
        <w:rPr>
          <w:b/>
          <w:u w:val="single"/>
        </w:rPr>
        <w:t>Commission’s Power to Extend the Benefits of the Energy Exemption to Electric Energy</w:t>
      </w:r>
    </w:p>
    <w:p>
      <w:pPr>
        <w:pStyle w:val="Normal"/>
        <w:spacing w:lineRule="auto" w:line="360"/>
        <w:ind w:firstLine="720" w:end="0"/>
        <w:rPr/>
      </w:pPr>
      <w:r>
        <w:rPr/>
        <w:t>The intent of Congress in passing the Futures Trading Practices Act of 1992 clearly reserved to the Commission the power to update exemptions granted for certain OTC derivatives in 1993 (including the Energy Exemption)</w:t>
      </w:r>
      <w:r>
        <w:rPr>
          <w:rStyle w:val="FootnoteCharacters"/>
          <w:rStyle w:val="FootnoteReference"/>
        </w:rPr>
        <w:footnoteReference w:id="19"/>
      </w:r>
      <w:r>
        <w:rPr/>
        <w:t>.  At that time, the House and Senate Conference Committee noted:</w:t>
      </w:r>
    </w:p>
    <w:p>
      <w:pPr>
        <w:pStyle w:val="Normal"/>
        <w:spacing w:lineRule="auto" w:line="360"/>
        <w:ind w:start="1440" w:end="584"/>
        <w:jc w:val="both"/>
        <w:rPr/>
      </w:pPr>
      <w:r>
        <w:rPr/>
        <w:t>“</w:t>
      </w:r>
      <w:r>
        <w:rPr/>
        <w:t>[T]he Conferees intend for the general exemptive authority ... to allow the [CFTC] to respond to future developments in the marketplace to avoid disruption and promote responsible economic and financial innovation, with due regard for the continued viability of the marketplace and considerations related to systemic risk in financial markets.”</w:t>
      </w:r>
      <w:r>
        <w:rPr>
          <w:rStyle w:val="FootnoteCharacters"/>
          <w:rStyle w:val="FootnoteReference"/>
        </w:rPr>
        <w:footnoteReference w:id="20"/>
      </w:r>
    </w:p>
    <w:p>
      <w:pPr>
        <w:pStyle w:val="Normal"/>
        <w:spacing w:lineRule="auto" w:line="360"/>
        <w:ind w:firstLine="720" w:end="0"/>
        <w:rPr/>
      </w:pPr>
      <w:r>
        <w:rPr/>
        <w:t xml:space="preserve">Section 4(c) of the Act was originally added by Section 502 of the Futures Trading Practices Act of 1992 (the “FTPA”).  In adopting the FTPA, the Congressional Conferees stated that they </w:t>
      </w:r>
    </w:p>
    <w:p>
      <w:pPr>
        <w:pStyle w:val="Normal"/>
        <w:spacing w:lineRule="auto" w:line="360"/>
        <w:ind w:start="1440" w:end="584"/>
        <w:jc w:val="both"/>
        <w:rPr/>
      </w:pPr>
      <w:r>
        <w:rPr/>
        <w:t>“</w:t>
      </w:r>
      <w:r>
        <w:rPr/>
        <w:t>expect and strongly encourage the Commission to use its new exemptive powers promptly upon the enactment of this legislation in four areas where significant concerns of legal uncertainty have arisen ...”.</w:t>
      </w:r>
      <w:r>
        <w:rPr>
          <w:rStyle w:val="FootnoteCharacters"/>
          <w:rStyle w:val="FootnoteReference"/>
        </w:rPr>
        <w:footnoteReference w:id="21"/>
      </w:r>
      <w:r>
        <w:rPr/>
        <w:t xml:space="preserve">  </w:t>
      </w:r>
    </w:p>
    <w:p>
      <w:pPr>
        <w:pStyle w:val="Normal"/>
        <w:spacing w:lineRule="auto" w:line="360"/>
        <w:ind w:firstLine="720" w:end="0"/>
        <w:rPr/>
      </w:pPr>
      <w:r>
        <w:rPr/>
        <w:t xml:space="preserve">Exemptive relief with respect to commercial contracts for Electric Energy which satisfy the criteria described herein is warranted and necessary, is within the directive to the Commission issued by Congress in the 1992 Conference Report, and is consistent with the public interest and the purposes of the Act.  </w:t>
      </w:r>
    </w:p>
    <w:p>
      <w:pPr>
        <w:pStyle w:val="Normal"/>
        <w:numPr>
          <w:ilvl w:val="0"/>
          <w:numId w:val="2"/>
        </w:numPr>
        <w:spacing w:lineRule="auto" w:line="360"/>
        <w:rPr>
          <w:u w:val="single"/>
        </w:rPr>
      </w:pPr>
      <w:r>
        <w:rPr>
          <w:b/>
          <w:u w:val="single"/>
        </w:rPr>
        <w:t>The Requesting Parties</w:t>
      </w:r>
    </w:p>
    <w:p>
      <w:pPr>
        <w:pStyle w:val="BodyTextIndent"/>
        <w:rPr/>
      </w:pPr>
      <w:r>
        <w:rPr/>
        <w:t xml:space="preserve">Each of the Electric Energy Group on behalf of which this application is submitted is a producer, processor and/or merchandiser of Electric Energy (and in some cases, other energy commodities such as natural gas and/or other products derived from crude oil or natural gas) or is otherwise engaged in a commercial business related to such commodities.  The Electric Energy Group comprises producers and suppliers of Electric Energy, and each of the members of the Electric Energy Group is an active participant in important domestic and international markets for Electric Energy (and the energy commodities from which Electric Energy is produced).  Among other things, the members of the Electric Energy Group are regularly engaged in the purchase of Electric Energy for use in their business operations, the sale of Electric Energy to end users.  These entities are also active participants in major Electric Energy forward and futures markets, and utilize such markets in connection with the foregoing commercial activities, as well as for hedging, pricing and risk management purposes.  </w:t>
      </w:r>
    </w:p>
    <w:p>
      <w:pPr>
        <w:pStyle w:val="Normal"/>
        <w:keepNext w:val="true"/>
        <w:numPr>
          <w:ilvl w:val="0"/>
          <w:numId w:val="2"/>
        </w:numPr>
        <w:spacing w:lineRule="auto" w:line="360"/>
        <w:rPr/>
      </w:pPr>
      <w:r>
        <w:rPr>
          <w:b/>
          <w:u w:val="single"/>
        </w:rPr>
        <w:t>The Proposed Exemption</w:t>
      </w:r>
    </w:p>
    <w:p>
      <w:pPr>
        <w:pStyle w:val="Normal"/>
        <w:keepNext w:val="true"/>
        <w:spacing w:lineRule="auto" w:line="360"/>
        <w:ind w:firstLine="720" w:end="0"/>
        <w:rPr/>
      </w:pPr>
      <w:r>
        <w:rPr/>
        <w:t>For the reasons set forth below, we respectfully request that the Commission issue an exemption providing the legal certainty that Electric Energy qualifies for exemption from provisions of the Act,</w:t>
      </w:r>
      <w:r>
        <w:rPr>
          <w:rStyle w:val="FootnoteCharacters"/>
          <w:rStyle w:val="FootnoteReference"/>
        </w:rPr>
        <w:footnoteReference w:id="22"/>
      </w:r>
      <w:r>
        <w:rPr/>
        <w:t xml:space="preserve"> pursuant to Section 4(c) thereof, with respect to any contract for the Purchase and Sale of Electric Energy (a “Commercial Contract”) which may be subject to the Act which has been entered into on or after October 23rd, 1974 and which:</w:t>
      </w:r>
    </w:p>
    <w:p>
      <w:pPr>
        <w:pStyle w:val="Normal"/>
        <w:spacing w:lineRule="auto" w:line="360"/>
        <w:ind w:hanging="720" w:start="1440" w:end="0"/>
        <w:rPr/>
      </w:pPr>
      <w:r>
        <w:rPr/>
        <w:t>(1)</w:t>
        <w:tab/>
        <w:t>is entered into by and between persons which, at the time they enter into the contract, are legally permitted, and have the capacity, to make and/or receive delivery of such commodity or commodities, and are appropriate persons (as defined in Section 4(c)(3) of the Act);</w:t>
      </w:r>
      <w:r>
        <w:rPr>
          <w:rStyle w:val="FootnoteCharacters"/>
          <w:rStyle w:val="FootnoteReference"/>
        </w:rPr>
        <w:footnoteReference w:id="23"/>
      </w:r>
    </w:p>
    <w:p>
      <w:pPr>
        <w:pStyle w:val="Normal"/>
        <w:spacing w:lineRule="auto" w:line="360"/>
        <w:ind w:hanging="720" w:start="1440" w:end="0"/>
        <w:rPr/>
      </w:pPr>
      <w:r>
        <w:rPr/>
        <w:t>(2)</w:t>
        <w:tab/>
        <w:t>imposes binding obligations on the parties to make and receive delivery of the underlying commodity or commodities, with no unilateral right afforded to either party to effect a cash settlement of their obligations; and</w:t>
      </w:r>
    </w:p>
    <w:p>
      <w:pPr>
        <w:pStyle w:val="Normal"/>
        <w:spacing w:lineRule="auto" w:line="360"/>
        <w:ind w:hanging="720" w:start="1440" w:end="0"/>
        <w:rPr/>
      </w:pPr>
      <w:r>
        <w:rPr/>
        <w:t>(3)</w:t>
        <w:tab/>
        <w:t>is a bilateral contract between two parties acting as principals, the material economic terms of which are subject to individual negotiation by the parties.</w:t>
      </w:r>
      <w:r>
        <w:rPr>
          <w:rStyle w:val="FootnoteCharacters"/>
          <w:rStyle w:val="FootnoteReference"/>
        </w:rPr>
        <w:footnoteReference w:id="24"/>
      </w:r>
    </w:p>
    <w:p>
      <w:pPr>
        <w:pStyle w:val="Normal"/>
        <w:spacing w:lineRule="auto" w:line="360"/>
        <w:ind w:firstLine="720" w:end="0"/>
        <w:rPr/>
      </w:pPr>
      <w:r>
        <w:rPr/>
        <w:t>Provided, however, that the foregoing shall not apply to a subsequent agreement between the parties to an existing Commercial Contract which is incidental to such Commercial Contract and which, either by its terms or pursuant to a separate agreement, arrangement or facility, provides for settlement of such Commercial Contracts in a manner other than physical delivery.</w:t>
      </w:r>
      <w:r>
        <w:rPr>
          <w:rStyle w:val="FootnoteCharacters"/>
          <w:rStyle w:val="FootnoteReference"/>
        </w:rPr>
        <w:footnoteReference w:id="25"/>
      </w:r>
    </w:p>
    <w:p>
      <w:pPr>
        <w:pStyle w:val="Normal"/>
        <w:keepNext w:val="true"/>
        <w:numPr>
          <w:ilvl w:val="0"/>
          <w:numId w:val="2"/>
        </w:numPr>
        <w:spacing w:lineRule="auto" w:line="360"/>
        <w:rPr/>
      </w:pPr>
      <w:r>
        <w:rPr>
          <w:b/>
          <w:u w:val="single"/>
        </w:rPr>
        <w:t>Discussion of the Proposed Exemption</w:t>
      </w:r>
    </w:p>
    <w:p>
      <w:pPr>
        <w:pStyle w:val="Normal"/>
        <w:keepNext w:val="true"/>
        <w:spacing w:lineRule="auto" w:line="360"/>
        <w:ind w:firstLine="720" w:end="0"/>
        <w:rPr/>
      </w:pPr>
      <w:r>
        <w:rPr/>
        <w:t>This exemption will preclude participation in Commercial Contracts by members of the general public and will limit the availability of such Contracts to those appropriate persons who, in the context of their business activities, incur risks related to the underlying physical commodities.  In addition, the exemption will require that each Commercial Contract impose binding delivery obligations on the parties (with the exception of those covered by the provisions as discussed below) and that it not provide either party with the unilateral right to require its counterparty to offset the contract by cash.  The Commercial Contracts will therefore expose the parties to substantial economic risk of a commercial nature.  Further, the Commercial Contracts will be entered into between two parties each of which acts as principal, and the material economic terms, including credit terms, of the transaction will be subject to individual negotiation between the parties.</w:t>
      </w:r>
    </w:p>
    <w:p>
      <w:pPr>
        <w:pStyle w:val="Normal"/>
        <w:spacing w:lineRule="auto" w:line="360"/>
        <w:ind w:firstLine="720" w:end="0"/>
        <w:rPr/>
      </w:pPr>
      <w:r>
        <w:rPr/>
        <w:t>In appropriate instances, and subject to negotiation, the parties will be permitted to establish bilateral collateral or margining arrangements to address credit issues and to participate in any multi-party facility for processing such bilateral collateral or margin arrangements.  The requirement that Commercial Contracts be bilateral and subject to individual negotiation will also assure that the transactions will not be cleared through a centralized clearing facility where the credit risk of individual members of the system to each other, with respect to a transaction to which each is a counterparty, is effectively eliminated and replaced by such facility, which serves as the guarantor of each party’s performance unless such clearing facility has previously been approved by the Commission for such purpose.</w:t>
      </w:r>
      <w:r>
        <w:rPr>
          <w:rStyle w:val="FootnoteCharacters"/>
          <w:rStyle w:val="FootnoteReference"/>
        </w:rPr>
        <w:footnoteReference w:id="26"/>
      </w:r>
      <w:r>
        <w:rPr/>
        <w:t xml:space="preserve">  This restriction, however, will not prohibit the use of computer or other electronic communication systems to communicate with other participants or, as discussed below, the use of a facility or arrangement which facilitates the netting of payment or delivery obligations.</w:t>
      </w:r>
    </w:p>
    <w:p>
      <w:pPr>
        <w:pStyle w:val="Normal"/>
        <w:spacing w:lineRule="auto" w:line="360"/>
        <w:ind w:firstLine="720" w:end="0"/>
        <w:rPr/>
      </w:pPr>
      <w:r>
        <w:rPr/>
        <w:t xml:space="preserve">The issuance of this exemption will provide greater clarity and legal certainty for commercial entities, in several respects, thereby allowing them to engage in legitimate and necessary business activities with the assurance that such activities will not be subject to the Act and the Commission’s jurisdiction.  </w:t>
      </w:r>
    </w:p>
    <w:p>
      <w:pPr>
        <w:pStyle w:val="Normal"/>
        <w:spacing w:lineRule="auto" w:line="360"/>
        <w:ind w:firstLine="720" w:end="0"/>
        <w:rPr/>
      </w:pPr>
      <w:r>
        <w:rPr/>
        <w:t>First, the exemption will make it clear that Commercial Contracts would satisfy the criteria set forth above, regardless of the Electric Energy-related commodity market in which they are entered into, are excluded from the Act.  This will allow commercial entities to conduct their necessary business activities in the domestic and foreign Electric Energy markets as well as the markets for other energy-related commodities (including oil and gas and their products and by-products), with the requisite degree of legal certainty and comfort.</w:t>
      </w:r>
    </w:p>
    <w:p>
      <w:pPr>
        <w:pStyle w:val="Normal"/>
        <w:spacing w:lineRule="auto" w:line="360"/>
        <w:ind w:firstLine="720" w:end="0"/>
        <w:rPr/>
      </w:pPr>
      <w:r>
        <w:rPr/>
        <w:t>Second, the exemption focuses on the commercial nature of the parties and the fact that the Commercial Contracts impose binding delivery obligations, thereby establishing a “bright line” test.</w:t>
      </w:r>
    </w:p>
    <w:p>
      <w:pPr>
        <w:pStyle w:val="Normal"/>
        <w:spacing w:lineRule="auto" w:line="360"/>
        <w:ind w:firstLine="720" w:end="0"/>
        <w:rPr/>
      </w:pPr>
      <w:r>
        <w:rPr/>
        <w:t xml:space="preserve">The exemption recognizes that, regardless of the purposes for which the parties enter into a Commercial Contract, they may be required by their counterparty to make or receive delivery pursuant to the terms of the Commercial Contract.  This will permit commercial entities to enter into Commercial Contracts for hedging, risk management, pricing or other commercial purposes, provided that the terms of the agreement impose binding delivery obligations, the parties are legally permitted to make and receive delivery and are capable of doing so.  In this respect as well, the exemption will facilitate the use of Commercial Contracts for legitimate and necessary business purposes.  </w:t>
      </w:r>
    </w:p>
    <w:p>
      <w:pPr>
        <w:pStyle w:val="Normal"/>
        <w:spacing w:lineRule="auto" w:line="360"/>
        <w:ind w:firstLine="720" w:end="0"/>
        <w:rPr/>
      </w:pPr>
      <w:r>
        <w:rPr/>
        <w:t xml:space="preserve">Third, the exemption recognizes the ability of commercial entities to settle Commercial Contracts through the full range of commercially available forms of settlement, either in accordance with the terms of the Commercial Contracts, or if another form of settlement is desired, with the counterparty consent.  For example, a Commercial Contract may be settled through the seller’s passage of title and the purchaser’s acceptance of the underlying Electric Energy.  This form of settlement is the same regardless of whether the buyer passes title to another immediate purchaser in a “chain”, or receives physical delivery of Electric Energy.  Further, two or more parties forming a “chain”, or a “string” or “circle” within a “chain”, may agree to “book out” their obligations through separately negotiated cash payments and this type of settlement would be covered under the exemption as well, even if the title does not, or is not deemed to, pass.  Alternatively, two or more parties may agree, prior to the formation of a delivery chain, to “book out” their respective obligations in a similar manner. The ability to effect such “book outs” represents an important hedging and risk management tool in these commercial markets allowing commercial entities to reduce exposure incurred in connection with their ongoing business activities, although transactions settled in this manner may not result in physical delivery, transfer of title or, in certain instances, the formation of a “chain”.  The parties to a single Commercial Contract may also agree subsequently to cancel the contract, with one party paying the other the change in the value of the contract, based on market movements from the date of the contract to the date of cancellation.  </w:t>
      </w:r>
    </w:p>
    <w:p>
      <w:pPr>
        <w:pStyle w:val="Normal"/>
        <w:spacing w:lineRule="auto" w:line="360"/>
        <w:ind w:firstLine="720" w:end="0"/>
        <w:rPr/>
      </w:pPr>
      <w:r>
        <w:rPr/>
        <w:t xml:space="preserve">In order to assure the ability of the parties to a Commercial Contract to effect these types of settlements, the exemption will permit the parties to enter into a subsequent agreement which provides for settlement in a manner other than physical delivery and which, for this reason, does not satisfy the criteria set forth above for qualification as a Commercial Contract.  Under the terms of the exemption, however, the second contract will be required to be incidental to the Commercial Contract previously entered into; </w:t>
      </w:r>
      <w:r>
        <w:rPr>
          <w:i/>
        </w:rPr>
        <w:t xml:space="preserve">i.e. </w:t>
      </w:r>
      <w:r>
        <w:rPr/>
        <w:t xml:space="preserve">the second contract will not be viewed under this exemption as standing alone as an independent transaction, as it would not be entered into absent the existing Commercial Contract.  Moreover, the establishment of the second contract cannot be made a condition of the initial Commercial Contract; </w:t>
      </w:r>
      <w:r>
        <w:rPr>
          <w:i/>
        </w:rPr>
        <w:t xml:space="preserve">e.g. </w:t>
      </w:r>
      <w:r>
        <w:rPr/>
        <w:t xml:space="preserve">one party cannot require its counterparty to agree in advance to the establishment of the second Commercial Contract as a condition to such party’s agreement to the initial Commercial Contract. Accordingly, the second contract must be a separately negotiated agreement and, if the counterparty does not agree to the second contract, the parties will remain obligated to perform in accordance with the binding delivery requirements imposed under the initial Commercial Contract.  </w:t>
      </w:r>
    </w:p>
    <w:p>
      <w:pPr>
        <w:pStyle w:val="Normal"/>
        <w:spacing w:lineRule="auto" w:line="360"/>
        <w:ind w:firstLine="720" w:end="0"/>
        <w:rPr/>
      </w:pPr>
      <w:r>
        <w:rPr/>
        <w:t>This proviso permits the parties to a Commercial Contract to enter into a master “netting agreement” or other similar agreement, either prior or subsequent to the execution of a Commercial Contract, pursuant to which the parties agree to “net” or book out the obligations imposed under two offsetting Commercial Contracts providing for delivery of the same commodity at the same delivery location and during the same delivery period.  For example, where two parties have entered into two or more such transactions, and the scheduling rules of the electrical control area do not prohibit netting, they may agree to a “net scheduling” of deliveries, in which the quantity to be delivered by one party is netted against the quantity to be delivered by the other, with only the net amount scheduled for delivery.  Such agreements will in no way undermine or negate the fact that the Commercial Contract initially entered into imposes binding delivery obligations.  The netting or other agreements which are covered by the proviso may not include provisions which require the parties to enter into offsetting agreements.  The types of agreements authorized, therefore, will simply establish mechanisms for the settlement of any offsetting agreements which are subsequently entered into. Accordingly, in this instance as well, the parties will remain obligated to make or receive delivery under the terms of a Commercial Contract, unless they subsequently enter into a separately negotiated agreement.</w:t>
      </w:r>
    </w:p>
    <w:p>
      <w:pPr>
        <w:pStyle w:val="Normal"/>
        <w:spacing w:lineRule="auto" w:line="360"/>
        <w:ind w:firstLine="720" w:end="0"/>
        <w:rPr/>
      </w:pPr>
      <w:r>
        <w:rPr/>
        <w:t xml:space="preserve">We also note that the third criterion noted above for qualification as a Commercial Contract (a bilateral agreement between two parties) will not apply to the netting or payment or delivery obligations, or similar types of arrangement, due to the fact that the parties to a Commercial Contract, in the normal course of their businesses, may also be parties to a multi-netting or book-out arrangements. For example, a number of commercial entities may agree that all offsetting contracts entered into between any two or more parties to the agreement will be netted or booked out between them.  Alternatively, a number of commercial entities may agree to book out transactions forming a “string” or “circle” within a chain which is identified by one of the parties or by a broker.  The contracts netted or booked out in this manner, however, will be required to satisfy the conditions set forth above; </w:t>
      </w:r>
      <w:r>
        <w:rPr>
          <w:i/>
        </w:rPr>
        <w:t xml:space="preserve">e.g. </w:t>
      </w:r>
      <w:r>
        <w:rPr/>
        <w:t>at least one of the contracts must meet all such conditions and the second must either meet all such conditions or be incidental to the first Commercial Contract.  The types of “net scheduling” described above might also be implemented on a multi-party basis.  This could occur where a grid operator arranges for the netting of offsetting delivery obligations between the same two or more counterparties calling for delivery to be made and accepted through its facility.</w:t>
      </w:r>
    </w:p>
    <w:p>
      <w:pPr>
        <w:pStyle w:val="Normal"/>
        <w:spacing w:lineRule="auto" w:line="360"/>
        <w:ind w:firstLine="720" w:end="0"/>
        <w:rPr/>
      </w:pPr>
      <w:r>
        <w:rPr/>
        <w:t>The requested exemption, like the Energy Exemption, allows other arrangements between the parties to Commercial Contracts as well, such as grade, location or date “exchanges”.  In this type of transaction, one party exchanges its obligation to deliver Electric Energy for the other party’s obligation to deliver Electric Energy (and/or exchanges its obligation to deliver in one location or on a given date for the counterparty’s obligation to deliver in another location or on another date).  Each of these transactions will, subject to satisfaction of the requirements set forth above, be encompassed within the exemption and therefore will not be subject to the Act.  As a result, the exemption will provide commercial entities with the flexibility necessary to conduct their business activities and will not be limited to particular types of transactions or specific energy-related markets utilized by such entities.</w:t>
      </w:r>
    </w:p>
    <w:p>
      <w:pPr>
        <w:pStyle w:val="Normal"/>
        <w:spacing w:lineRule="auto" w:line="360"/>
        <w:ind w:firstLine="720" w:end="0"/>
        <w:rPr/>
      </w:pPr>
      <w:r>
        <w:rPr/>
        <w:t xml:space="preserve">The requested exemption is not intended and should not be construed to create any inference with respect to the status under the Act either of Commercial Contracts, of contracts for energy-related commodities or contracts for the purchase or sale of other types of commodities. Specifically, the exemption does not imply that Commercial Contracts on energy-related commodities, or contracts for the purchase and sale of other types of commodities, are subject to the Act.  However, the exemption does not affect this applicability to Commercial Contracts, or such other types of contracts, of exemptions or interpretations previously issued by the Commission or its staff.  In this regard, the exemption requested herein is focused on Electric Energy related commodities as a result of the negative impact of a prior federal court decision, discussed below.  The exemption is therefore intended to provide additional clarity and legal certainty in the areas affected by that decision, and is consistent with the Commission’s prior statutory interpretation on purchases and sales of physical commodities and with the previously granted Energy Exemption. </w:t>
      </w:r>
    </w:p>
    <w:p>
      <w:pPr>
        <w:pStyle w:val="Normal"/>
        <w:keepNext w:val="true"/>
        <w:numPr>
          <w:ilvl w:val="0"/>
          <w:numId w:val="2"/>
        </w:numPr>
        <w:spacing w:lineRule="auto" w:line="360" w:before="0" w:after="60"/>
        <w:rPr/>
      </w:pPr>
      <w:r>
        <w:rPr>
          <w:b/>
          <w:u w:val="single"/>
        </w:rPr>
        <w:t>Providing Legal Clarity</w:t>
      </w:r>
    </w:p>
    <w:p>
      <w:pPr>
        <w:pStyle w:val="Normal"/>
        <w:keepNext w:val="true"/>
        <w:spacing w:lineRule="auto" w:line="360"/>
        <w:ind w:firstLine="720" w:end="0"/>
        <w:rPr/>
      </w:pPr>
      <w:r>
        <w:rPr/>
        <w:t>The Act generally prohibits the trading of futures contracts in the United States other than on a designated “contract market”, and futures contracts traded off-exchange (“OTC”) might therefore be found to be in violation of the Act</w:t>
      </w:r>
      <w:r>
        <w:rPr>
          <w:rStyle w:val="FootnoteCharacters"/>
          <w:rStyle w:val="FootnoteReference"/>
        </w:rPr>
        <w:footnoteReference w:id="27"/>
      </w:r>
      <w:r>
        <w:rPr/>
        <w:t>.  Pursuant to the so-called “forward contract exclusion” set forth in section 2(a)(i) of the Act, however this prohibition does not apply to “any sale of any cash commodity for deferred shipment or delivery”, commonly, known as a “forward contract”.  In reliance on the forward contract exclusion, commercial entities have, throughout the history of the Act and its predecessor statutes, routinely entered into a variety of off-exchange transactions in connection with their regular business activities with the understanding that such transactions were outside the scope of the Act and Commission regulations.</w:t>
      </w:r>
    </w:p>
    <w:p>
      <w:pPr>
        <w:pStyle w:val="Normal"/>
        <w:spacing w:lineRule="auto" w:line="360"/>
        <w:ind w:firstLine="720" w:end="0"/>
        <w:rPr/>
      </w:pPr>
      <w:r>
        <w:rPr/>
        <w:t>As Congress noted in Conference Report 978, however, a District Court in 1990 found that certain forward contracts for the purchase and sale Brent Blend Crude Oil, referred to as “15-day Brent Contracts” were futures contracts.</w:t>
      </w:r>
      <w:r>
        <w:rPr>
          <w:rStyle w:val="FootnoteCharacters"/>
          <w:rStyle w:val="FootnoteReference"/>
        </w:rPr>
        <w:footnoteReference w:id="28"/>
      </w:r>
      <w:r>
        <w:rPr/>
        <w:t xml:space="preserve">  That decision created substantial uncertainty regarding the legal status of a wide variety of commercial practices.  </w:t>
      </w:r>
    </w:p>
    <w:p>
      <w:pPr>
        <w:pStyle w:val="Normal"/>
        <w:spacing w:lineRule="auto" w:line="360"/>
        <w:ind w:firstLine="720" w:end="0"/>
        <w:rPr/>
      </w:pPr>
      <w:r>
        <w:rPr/>
        <w:t xml:space="preserve">In response to the </w:t>
      </w:r>
      <w:r>
        <w:rPr>
          <w:i/>
        </w:rPr>
        <w:t>Transnor</w:t>
      </w:r>
      <w:r>
        <w:rPr/>
        <w:t xml:space="preserve"> decision, the Commission issued a Statutory Interpretation in September, 1990</w:t>
      </w:r>
      <w:r>
        <w:rPr>
          <w:rStyle w:val="FootnoteCharacters"/>
          <w:rStyle w:val="FootnoteReference"/>
        </w:rPr>
        <w:footnoteReference w:id="29"/>
      </w:r>
      <w:r>
        <w:rPr/>
        <w:t xml:space="preserve"> (“Statutory Interpretation”).  Recognizing that “the evolution of commercial transactions of this variety suggests that more guidance by the Commission is appropriate”, the Commission sought through the issue of the Statutory Interpretation </w:t>
      </w:r>
    </w:p>
    <w:p>
      <w:pPr>
        <w:pStyle w:val="Normal"/>
        <w:spacing w:lineRule="auto" w:line="360"/>
        <w:ind w:start="720" w:end="591"/>
        <w:jc w:val="both"/>
        <w:rPr/>
      </w:pPr>
      <w:r>
        <w:rPr/>
        <w:t>“</w:t>
      </w:r>
      <w:r>
        <w:rPr/>
        <w:t xml:space="preserve">to make clear its view that certain transactions between commercial parties ... are encompassed by the Section 2(a)(1) exclusion and therefore are outside the scope of the Commission’s regulatory jurisdiction under the Commodity Exchange Act”.  </w:t>
      </w:r>
    </w:p>
    <w:p>
      <w:pPr>
        <w:pStyle w:val="Normal"/>
        <w:spacing w:lineRule="auto" w:line="360"/>
        <w:ind w:firstLine="720" w:start="851" w:end="0"/>
        <w:rPr/>
      </w:pPr>
      <w:r>
        <w:rPr/>
      </w:r>
    </w:p>
    <w:p>
      <w:pPr>
        <w:pStyle w:val="Normal"/>
        <w:spacing w:lineRule="auto" w:line="360"/>
        <w:ind w:firstLine="720" w:end="0"/>
        <w:rPr/>
      </w:pPr>
      <w:r>
        <w:rPr/>
        <w:t>The Commission noted that forward contracts had traditionally been entered into by commercial entities involved in businesses related to the underlying commodities and obligated parties to make and receive delivery of the commodities, with the date of delivery being deferred for a variety of commercial reasons.  The Commission also pointed out in the Statutory Interpretation that forward transactions had typically been individually and privately negotiated, with no right of assignment or offset and no clearing house margin or settlement system.</w:t>
      </w:r>
    </w:p>
    <w:p>
      <w:pPr>
        <w:pStyle w:val="Normal"/>
        <w:spacing w:lineRule="auto" w:line="360"/>
        <w:ind w:firstLine="720" w:end="0"/>
        <w:rPr/>
      </w:pPr>
      <w:r>
        <w:rPr/>
      </w:r>
    </w:p>
    <w:p>
      <w:pPr>
        <w:pStyle w:val="Normal"/>
        <w:spacing w:lineRule="auto" w:line="360"/>
        <w:ind w:firstLine="720" w:end="0"/>
        <w:rPr/>
      </w:pPr>
      <w:r>
        <w:rPr/>
        <w:t xml:space="preserve">As a result of the “evolution” of commercial commodity markets, however, the commission acknowledged that “a diverse variety of transactions” had developed </w:t>
      </w:r>
    </w:p>
    <w:p>
      <w:pPr>
        <w:pStyle w:val="Normal"/>
        <w:spacing w:lineRule="auto" w:line="360"/>
        <w:ind w:start="851" w:end="591"/>
        <w:jc w:val="both"/>
        <w:rPr/>
      </w:pPr>
      <w:r>
        <w:rPr/>
        <w:t>“</w:t>
      </w:r>
      <w:r>
        <w:rPr/>
        <w:t xml:space="preserve">which served the same commercial functions as did those forward contracts which, originally were the subject of the Section 2(a)(2) exclusion notwithstanding the fact that, in specific cases and as separately agreed between the parties, the transactions may ultimately result in performances through the payment of cash as an alternative to the actual transfer or delivery of the commodity”.  </w:t>
      </w:r>
    </w:p>
    <w:p>
      <w:pPr>
        <w:pStyle w:val="Normal"/>
        <w:spacing w:lineRule="auto" w:line="360"/>
        <w:ind w:firstLine="720" w:end="0"/>
        <w:rPr/>
      </w:pPr>
      <w:r>
        <w:rPr/>
        <w:t xml:space="preserve">The Commission therefore concluded that the forward contract exclusion encompassed 15-day Brent transactions of the type described in the Statutory Interpretation which </w:t>
      </w:r>
    </w:p>
    <w:p>
      <w:pPr>
        <w:pStyle w:val="Normal"/>
        <w:spacing w:lineRule="auto" w:line="360"/>
        <w:ind w:hanging="851" w:start="1702" w:end="0"/>
        <w:rPr/>
      </w:pPr>
      <w:r>
        <w:rPr/>
        <w:t xml:space="preserve">(1) </w:t>
        <w:tab/>
        <w:t xml:space="preserve">are entered into between commercial counterparties with the capacity to assume the risks associated with delivery of the underlying commodity; </w:t>
      </w:r>
    </w:p>
    <w:p>
      <w:pPr>
        <w:pStyle w:val="Normal"/>
        <w:spacing w:lineRule="auto" w:line="360"/>
        <w:ind w:hanging="851" w:start="1702" w:end="0"/>
        <w:rPr/>
      </w:pPr>
      <w:r>
        <w:rPr/>
        <w:t>(2)</w:t>
        <w:tab/>
        <w:t>impose binding delivery obligations on the parties, thereby creating substantial economic risk of a commercial nature”; and</w:t>
      </w:r>
    </w:p>
    <w:p>
      <w:pPr>
        <w:pStyle w:val="Normal"/>
        <w:spacing w:lineRule="auto" w:line="360"/>
        <w:ind w:hanging="851" w:start="1702" w:end="0"/>
        <w:rPr/>
      </w:pPr>
      <w:r>
        <w:rPr/>
        <w:t>(3)</w:t>
        <w:tab/>
        <w:t xml:space="preserve">do not permit either party to settle their obligations through offset or in any other manner, although the parties may subsequently be able to satisfy their obligations through “string” or “chain” deliveries, or “book outs” effected through a “string” or “chain”, subject to counterparty consent.  </w:t>
      </w:r>
    </w:p>
    <w:p>
      <w:pPr>
        <w:pStyle w:val="Normal"/>
        <w:spacing w:lineRule="auto" w:line="360"/>
        <w:ind w:firstLine="720" w:end="0"/>
        <w:rPr/>
      </w:pPr>
      <w:r>
        <w:rPr/>
        <w:t xml:space="preserve">The issuance of the Statutory Interpretation addressed many of the concerns expressed by commercial participants in the energy markets after the </w:t>
      </w:r>
      <w:r>
        <w:rPr>
          <w:i/>
        </w:rPr>
        <w:t>Transnor</w:t>
      </w:r>
      <w:r>
        <w:rPr/>
        <w:t xml:space="preserve"> decision, by clarifying the fact that certain types of commercial transactions are excluded from the off-exchange trading prohibition by the forward contract exclusion.  The Electric Energy Group on behalf of which this application is submitted, wish to rely on its terms in connection with their business activities.</w:t>
      </w:r>
    </w:p>
    <w:p>
      <w:pPr>
        <w:pStyle w:val="Normal"/>
        <w:spacing w:lineRule="auto" w:line="360"/>
        <w:ind w:firstLine="720" w:end="0"/>
        <w:rPr/>
      </w:pPr>
      <w:r>
        <w:rPr/>
        <w:t xml:space="preserve">In the course of its deliberations on the FTPA the Congressional Conferees acknowledged the effect of the </w:t>
      </w:r>
      <w:r>
        <w:rPr>
          <w:i/>
        </w:rPr>
        <w:t>Transnor</w:t>
      </w:r>
      <w:r>
        <w:rPr/>
        <w:t xml:space="preserve"> decision on the Brent market and the Commission’s decision.</w:t>
      </w:r>
      <w:r>
        <w:rPr>
          <w:rStyle w:val="FootnoteCharacters"/>
          <w:rStyle w:val="FootnoteReference"/>
        </w:rPr>
        <w:footnoteReference w:id="30"/>
      </w:r>
      <w:r>
        <w:rPr/>
        <w:t xml:space="preserve"> Moreover, Congress noted that some of the restraints imposed by the Act can create competitive disadvantages for U.S. participants in OTC markets.</w:t>
      </w:r>
    </w:p>
    <w:p>
      <w:pPr>
        <w:pStyle w:val="Normal"/>
        <w:spacing w:lineRule="auto" w:line="360"/>
        <w:ind w:firstLine="720" w:end="0"/>
        <w:rPr/>
      </w:pPr>
      <w:r>
        <w:rPr/>
        <w:t>Congress therefore added a new Section 4(c) to the Act which grants the Commission the authority to exempt contracts, transactions or clauses from prohibition of off-exchange futures trading set forth in Section 4(a), and from any other provisions of the Act.  In so doing, Congress stated that it ‘expect[s] and strongly encourage[s] the Commission to use its new exemptive powers promptly upon enactment of this legislation’ to, among other things, address transactions the status of which might not have been sufficiently clarified by the Statutory Interpretation.  Because the Commission is no longer restricted, in addressing the status of off-exchange instruments, to interpreting the scope of the forward contract exclusion under the Act, the Commission is able to craft an exemption which provides more comprehensive guidance with respect to the scope of exempt commercial activity, fully consistent with the public interest.  The proposed exemption for Electric Energy, in our view, will provide additional clarity and legal certainty that a broad range of Commercial Contracts for Electric Energy are exempt from the Act and Commission regulation to the extent already granted to other Energy Contracts under the Energy Exemption.</w:t>
      </w:r>
    </w:p>
    <w:p>
      <w:pPr>
        <w:pStyle w:val="Normal"/>
        <w:spacing w:lineRule="auto" w:line="360"/>
        <w:ind w:firstLine="720" w:end="0"/>
        <w:rPr/>
      </w:pPr>
      <w:r>
        <w:rPr/>
        <w:t xml:space="preserve">Pursuant to Section 4(c) of the Act, the Commission is now authorized to </w:t>
      </w:r>
    </w:p>
    <w:p>
      <w:pPr>
        <w:pStyle w:val="Normal"/>
        <w:spacing w:lineRule="auto" w:line="360"/>
        <w:ind w:start="1440" w:end="720"/>
        <w:jc w:val="both"/>
        <w:rPr/>
      </w:pPr>
      <w:r>
        <w:rPr/>
        <w:t>“</w:t>
      </w:r>
      <w:r>
        <w:rPr/>
        <w:t xml:space="preserve">exempt any agreement, contract, or transaction [or class thereof] ... (including any person or class of persons offering, entering into, rendering advice or rendering other services with respect to, the agreement, contract or transaction)” </w:t>
      </w:r>
    </w:p>
    <w:p>
      <w:pPr>
        <w:pStyle w:val="Normal"/>
        <w:spacing w:lineRule="auto" w:line="360"/>
        <w:rPr/>
      </w:pPr>
      <w:r>
        <w:rPr/>
        <w:t>from the prohibition of off-exchange futures trading set forth in Section 4(a) or any other provisions of the Act, “if the Commission determines that the exemption would be consistent with the public interest”.  In addition, in granting any exemption under Section 4(c), the Commission must determine that the exchange trading requirement should not be applied to the contract or transaction, that the exemption would be consistent with the purposes of the Act, that the contract or transaction will be entered into solely between “appropriate persons” (as defined in Section 4(c)(3))</w:t>
      </w:r>
      <w:r>
        <w:rPr>
          <w:rStyle w:val="FootnoteCharacters"/>
          <w:rStyle w:val="FootnoteReference"/>
        </w:rPr>
        <w:footnoteReference w:id="31"/>
      </w:r>
      <w:r>
        <w:rPr/>
        <w:t xml:space="preserve"> and that the exemption “will not have a material adverse affect on the ability of the Commission or any contract market to discharge its regulatory or self-regulatory duties under this Act.”</w:t>
      </w:r>
    </w:p>
    <w:p>
      <w:pPr>
        <w:pStyle w:val="Normal"/>
        <w:spacing w:lineRule="auto" w:line="360"/>
        <w:ind w:firstLine="720" w:end="0"/>
        <w:rPr/>
      </w:pPr>
      <w:r>
        <w:rPr/>
        <w:t xml:space="preserve">The Electric Energy Exemption proposed herein is in the public interest, is consistent with the purposes of the Act and satisfies the criteria established under Section 4(c).  With respect to the public interest requirement of Section 4(c), the 1992 Conference Report states that </w:t>
      </w:r>
    </w:p>
    <w:p>
      <w:pPr>
        <w:pStyle w:val="Normal"/>
        <w:spacing w:lineRule="auto" w:line="360"/>
        <w:ind w:start="1440" w:end="590"/>
        <w:rPr/>
      </w:pPr>
      <w:r>
        <w:rPr/>
        <w:t>“</w:t>
      </w:r>
      <w:r>
        <w:rPr/>
        <w:t>[t]he conferees intend this public interest test to include the national public interest noted in the Act, the prevention of fraud and the preservation of the financial integrity of market and the promotion of responsible economic for financial innovation and fair competition”.</w:t>
      </w:r>
      <w:r>
        <w:rPr>
          <w:rStyle w:val="FootnoteCharacters"/>
          <w:rStyle w:val="FootnoteReference"/>
        </w:rPr>
        <w:footnoteReference w:id="32"/>
      </w:r>
      <w:r>
        <w:rPr/>
        <w:t xml:space="preserve">  </w:t>
      </w:r>
    </w:p>
    <w:p>
      <w:pPr>
        <w:pStyle w:val="Normal"/>
        <w:spacing w:lineRule="auto" w:line="360"/>
        <w:ind w:firstLine="720" w:end="0"/>
        <w:rPr/>
      </w:pPr>
      <w:r>
        <w:rPr/>
        <w:t>In the present instance, the proposed exemption will have no adverse effect on “the prevention of fraud” or the protection of the public.  Those entities which satisfy the criteria under the proposed exemption are sufficiently sophisticated and knowledgeable to protect their own interests in connection with Commercial Contracts regardless of whether the regulatory protections afforded under the Act are available.  Indeed, as the Commission recognized in an Advance Notice of Proposed Rulemaking, commercial entities entering into privately negotiated transactions might “not always require the full panoply of regulatory protections that apply to futures contracts”.</w:t>
      </w:r>
      <w:r>
        <w:rPr>
          <w:rStyle w:val="FootnoteCharacters"/>
          <w:rStyle w:val="FootnoteReference"/>
        </w:rPr>
        <w:footnoteReference w:id="33"/>
      </w:r>
    </w:p>
    <w:p>
      <w:pPr>
        <w:pStyle w:val="Normal"/>
        <w:spacing w:lineRule="auto" w:line="360"/>
        <w:ind w:firstLine="720" w:end="0"/>
        <w:rPr/>
      </w:pPr>
      <w:r>
        <w:rPr/>
        <w:t xml:space="preserve">The exemption requested herein is necessary in order to permit commercial commodity markets to function effectively and to accomplish these objectives.  Such relief will provide commercial entities with the level of certainty and clarity required in order to enable them to conduct their business activities, which will clearly advance the public interest.  Among other things, the requested exemption for certain Electric Energy contracts, like the Energy Exemption, facilitates commercial hedging operations, which should serve to reduce volatility in the relevant Electric Energy markets to the ultimate benefit of the public, in the form of lower and more stable prices.  The requested exemption also increases liquidity in commercial markets, thereby enhancing their efficiency.  </w:t>
      </w:r>
    </w:p>
    <w:p>
      <w:pPr>
        <w:pStyle w:val="Normal"/>
        <w:spacing w:lineRule="auto" w:line="360"/>
        <w:ind w:firstLine="720" w:end="0"/>
        <w:rPr/>
      </w:pPr>
      <w:r>
        <w:rPr/>
        <w:t>In addition, the proposed exemption is consistent with the “preservation of the financial integrity of the markets”, and the purposes of the Act.</w:t>
      </w:r>
      <w:r>
        <w:rPr>
          <w:rStyle w:val="FootnoteCharacters"/>
          <w:rStyle w:val="FootnoteReference"/>
        </w:rPr>
        <w:footnoteReference w:id="34"/>
      </w:r>
      <w:r>
        <w:rPr/>
        <w:t xml:space="preserve">  Commercial Contracts will be entered into on a bi-lateral principal to principal basis between the parties and each party will be exposed to its counterparty’s credit and performance risk.  Accordingly, the financial integrity of the markets for such Commercial Contracts will be adequately addressed by the limitation to appropriate persons and the measures adopted by each market participant to limit its credit exposure.</w:t>
      </w:r>
    </w:p>
    <w:p>
      <w:pPr>
        <w:pStyle w:val="Normal"/>
        <w:spacing w:lineRule="auto" w:line="360"/>
        <w:ind w:firstLine="720" w:end="0"/>
        <w:rPr/>
      </w:pPr>
      <w:r>
        <w:rPr/>
        <w:t xml:space="preserve">Moreover, due to the individualization of Commercial Contracts, and the customization of their terms to meet the specific needs of the counterparties, such Contracts lack the degree of standardization and fungibility required in order to permit them to be traded on an exchange.  The application of the exchange trading requirement to such Contracts, therefore, is not only unnecessary for the protection of the public and the advancement of the purposes of the Act, but would in fact be detrimental to the functioning of commercial markets and the realization of the public interests identified by Congress.  </w:t>
      </w:r>
    </w:p>
    <w:p>
      <w:pPr>
        <w:pStyle w:val="Normal"/>
        <w:spacing w:lineRule="auto" w:line="360"/>
        <w:ind w:firstLine="720" w:end="0"/>
        <w:rPr/>
      </w:pPr>
      <w:r>
        <w:rPr/>
        <w:t>We also note that Congress has consistently recognized, throughout the history of the Act and its predecessor statutes, that certain types of Commercial Contracts may be entered into off-exchange without contravening the purpose of the statute.  The Energy Exemption, the Forward Contract exclusion, the “Treasury Amendment” (regarding off-exchange transactions in foreign currencies and other specified financial instruments, and the “trade option” exemption (regarding commercial options which are exempt from the prohibition of off-exchange commodity options)</w:t>
      </w:r>
      <w:r>
        <w:rPr>
          <w:rStyle w:val="FootnoteCharacters"/>
          <w:rStyle w:val="FootnoteReference"/>
        </w:rPr>
        <w:footnoteReference w:id="35"/>
      </w:r>
      <w:r>
        <w:rPr/>
        <w:t xml:space="preserve"> underscore Congress’s long-standing belief that a variety of off-exchange transactions may be entered into by commercial entities consistent with the purposes of the statute.  As a study of the Forward Contract exclusion concluded, the enactment of these exemptions and exclusions and the continued existence of the exchange trading requirement are:</w:t>
      </w:r>
    </w:p>
    <w:p>
      <w:pPr>
        <w:pStyle w:val="Normal"/>
        <w:spacing w:before="0" w:after="360"/>
        <w:ind w:start="1440" w:end="720"/>
        <w:rPr/>
      </w:pPr>
      <w:r>
        <w:rPr/>
        <w:t>entirely compatible in terms of congressional policy and the overall federal regulatory scheme.  As the legislative record and the legislative history since 1921 indicate, Congress has consistently sought to balance exchange regulation and customer protection with an equally consistent unwillingness to disturb or regulate commercial and institutional markets, not involving the general public, that serve legitimate economic purposes and do not disrupt trading on the designated futures exchanges.</w:t>
      </w:r>
      <w:r>
        <w:rPr>
          <w:rStyle w:val="FootnoteCharacters"/>
          <w:rStyle w:val="FootnoteReference"/>
        </w:rPr>
        <w:footnoteReference w:id="36"/>
      </w:r>
    </w:p>
    <w:p>
      <w:pPr>
        <w:pStyle w:val="Normal"/>
        <w:spacing w:lineRule="auto" w:line="360"/>
        <w:ind w:firstLine="720" w:end="0"/>
        <w:rPr/>
      </w:pPr>
      <w:r>
        <w:rPr/>
        <w:t>Moreover, Congress and the Commission have recognized that a variety of off-exchange contracts are permissible and consistent with the purposes of the statute even where they do not actually result in physical delivery and, under the Commission’s interpretation, might not be encompassed within the Forward Contract exclusion.  For instance, the “Treasury Amendment” included in Section 2(a)(1) of the Act permits the trading of off-exchange instruments which may not be within the scope of the Forward Contract exclusion and which, absent the Treasury Amendment, could be construed to violate the off-exchange trading prohibition.</w:t>
      </w:r>
      <w:r>
        <w:rPr>
          <w:rStyle w:val="FootnoteCharacters"/>
          <w:rStyle w:val="FootnoteReference"/>
        </w:rPr>
        <w:footnoteReference w:id="37"/>
      </w:r>
    </w:p>
    <w:p>
      <w:pPr>
        <w:pStyle w:val="Normal"/>
        <w:spacing w:lineRule="auto" w:line="360"/>
        <w:ind w:firstLine="720" w:end="0"/>
        <w:rPr/>
      </w:pPr>
      <w:r>
        <w:rPr/>
        <w:t>Similarly, the Commission has stated that transactions which do not involve physical delivery may nevertheless be outside the scope of the Act.</w:t>
      </w:r>
      <w:r>
        <w:rPr>
          <w:rStyle w:val="FootnoteCharacters"/>
          <w:rStyle w:val="FootnoteReference"/>
        </w:rPr>
        <w:footnoteReference w:id="38"/>
      </w:r>
      <w:r>
        <w:rPr/>
        <w:t xml:space="preserve">   In that Policy Statement, for example, the Commission concluded that cash-settled swap transactions, “although possessing elements of futures or options contracts are not appropriately regulated as such under the Act and regulations”, despite the fact that such transactions generally do not involve physical delivery of commodities.  </w:t>
      </w:r>
    </w:p>
    <w:p>
      <w:pPr>
        <w:pStyle w:val="Normal"/>
        <w:spacing w:lineRule="auto" w:line="360"/>
        <w:ind w:firstLine="720" w:end="0"/>
        <w:rPr/>
      </w:pPr>
      <w:r>
        <w:rPr/>
        <w:t>In summary, Congress and the Commission have long permitted a variety of off-exchange transactions which might not be encompassed within the Forward Contract exclusion, and have not viewed the permissibility of such transactions to be inconsistent with the purposes of the Act.  In addition, Congress had directed the Commission to utilize the exemptive authority granted under section 4(c) to “promote responsible economic or financial innovation”, to facilitate legitimate business activities of commercial entities and to address the “competitive disadvantages for U.S. participants” created by the “restraints imposed by the Act”.  In the light of these considerations, we believe that the proposed Electric Energy Exemption is fully consistent with the public interest, the purposes of the Act and the intent of Congress.</w:t>
      </w:r>
    </w:p>
    <w:p>
      <w:pPr>
        <w:pStyle w:val="Normal"/>
        <w:spacing w:lineRule="auto" w:line="360"/>
        <w:ind w:firstLine="720" w:end="0"/>
        <w:rPr/>
      </w:pPr>
      <w:r>
        <w:rPr/>
        <w:t>Finally, the issuance of the proposed exemption herein “will not have a material adverse effect on the ability of the Commission or any contract market to discharge its regulatory or self-regulatory duties under this Act”.  In making this determination, Congress directed the Commission to look at the potential impact of the new product on such regulatory concerns as market surveillance, financial integrity of the participants, protection of customers and trade practice enforcement.</w:t>
      </w:r>
      <w:r>
        <w:rPr>
          <w:rStyle w:val="FootnoteCharacters"/>
          <w:rStyle w:val="FootnoteReference"/>
        </w:rPr>
        <w:footnoteReference w:id="39"/>
      </w:r>
      <w:r>
        <w:rPr/>
        <w:t xml:space="preserve">  For the reasons set forth above, the limitations on the scope of eligible participants to Commercial Contracts assures that the concerns regarding the “financial integrity of the participants” and the “protection of customers” will be adequately addressed.  In addition, because Commercial Contracts will be traded outside of the exchange environment, the clarification will not affect the market surveillance and trade practice enforcement responsibilities of the Commission or the self-regulatory organizations.  This requirement of Section 4(c) will therefore be satisfied.</w:t>
      </w:r>
    </w:p>
    <w:p>
      <w:pPr>
        <w:pStyle w:val="Normal"/>
        <w:keepNext w:val="true"/>
        <w:numPr>
          <w:ilvl w:val="0"/>
          <w:numId w:val="2"/>
        </w:numPr>
        <w:spacing w:lineRule="auto" w:line="360" w:before="0" w:after="120"/>
        <w:rPr/>
      </w:pPr>
      <w:r>
        <w:rPr>
          <w:b/>
          <w:u w:val="single"/>
        </w:rPr>
        <w:t>Conclusion</w:t>
      </w:r>
    </w:p>
    <w:p>
      <w:pPr>
        <w:pStyle w:val="BodyTextIndent"/>
        <w:spacing w:before="0" w:after="120"/>
        <w:rPr/>
      </w:pPr>
      <w:r>
        <w:rPr/>
        <w:t>The petitioner Energy Group  respectfully states that it is not unreasonable to assert that the exemption sought here fits the description given by then CFTC Acting Chairman William P. Albrecht when he stated in his Concurring Opinion to the Energy Exemption Order,</w:t>
      </w:r>
    </w:p>
    <w:p>
      <w:pPr>
        <w:pStyle w:val="Normal"/>
        <w:spacing w:lineRule="auto" w:line="360" w:before="0" w:after="120"/>
        <w:ind w:start="1440" w:end="590"/>
        <w:rPr/>
      </w:pPr>
      <w:r>
        <w:rPr/>
        <w:t>“</w:t>
      </w:r>
      <w:r>
        <w:rPr/>
        <w:t>Today we have before us an exemption for large commercial participants in off-exchange energy based transactions.  These transactions compose a large ongoing market for energy products of importance to U.S. ... commerce.  We are considering this exemption in response to a petition submitted by several market participants who seek further certainty that this market is outside CFTC regulatory jurisdiction.”</w:t>
      </w:r>
      <w:r>
        <w:rPr>
          <w:rStyle w:val="FootnoteCharacters"/>
          <w:rStyle w:val="FootnoteReference"/>
        </w:rPr>
        <w:footnoteReference w:id="40"/>
      </w:r>
    </w:p>
    <w:p>
      <w:pPr>
        <w:pStyle w:val="BodyTextIndent"/>
        <w:spacing w:before="0" w:after="120"/>
        <w:rPr/>
      </w:pPr>
      <w:r>
        <w:rPr/>
        <w:t xml:space="preserve">Based on the foregoing, we respectfully request that the proposed Electric Energy Exemption be granted.  We very much appreciate the opportunity to submit this petition and we of course stand ready to provide the Commission with any further information or </w:t>
      </w:r>
    </w:p>
    <w:p>
      <w:pPr>
        <w:pStyle w:val="Normal"/>
        <w:spacing w:lineRule="auto" w:line="360" w:before="0" w:after="120"/>
        <w:rPr/>
      </w:pPr>
      <w:r>
        <w:rPr/>
        <w:t>assistance which may be necessary or helpful in its consideration of the proposed exemption.</w:t>
      </w:r>
    </w:p>
    <w:p>
      <w:pPr>
        <w:pStyle w:val="Normal"/>
        <w:spacing w:before="0" w:after="120"/>
        <w:ind w:start="3960" w:end="0"/>
        <w:rPr/>
      </w:pPr>
      <w:r>
        <w:rPr/>
        <w:t>Sincerely,</w:t>
      </w:r>
    </w:p>
    <w:p>
      <w:pPr>
        <w:pStyle w:val="Normal"/>
        <w:spacing w:before="0" w:after="120"/>
        <w:ind w:start="3960" w:end="0"/>
        <w:rPr/>
      </w:pPr>
      <w:r>
        <w:rPr/>
        <w:t>MICHAEL S. HINDUS</w:t>
      </w:r>
    </w:p>
    <w:p>
      <w:pPr>
        <w:pStyle w:val="Normal"/>
        <w:spacing w:before="0" w:after="120"/>
        <w:ind w:start="3960" w:end="0"/>
        <w:rPr/>
      </w:pPr>
      <w:r>
        <w:rPr/>
        <w:t>Cameron McKenna LLP</w:t>
      </w:r>
    </w:p>
    <w:p>
      <w:pPr>
        <w:pStyle w:val="Normal"/>
        <w:spacing w:before="0" w:after="120"/>
        <w:ind w:start="3960" w:end="0"/>
        <w:rPr/>
      </w:pPr>
      <w:r>
        <w:rPr/>
      </w:r>
    </w:p>
    <w:p>
      <w:pPr>
        <w:pStyle w:val="Normal"/>
        <w:spacing w:before="0" w:after="120"/>
        <w:ind w:start="3960" w:end="0"/>
        <w:rPr/>
      </w:pPr>
      <w:r>
        <w:rPr/>
        <w:t>EDWARD J. SWAN</w:t>
      </w:r>
    </w:p>
    <w:p>
      <w:pPr>
        <w:pStyle w:val="Normal"/>
        <w:spacing w:before="0" w:after="120"/>
        <w:ind w:start="3960" w:end="0"/>
        <w:rPr/>
      </w:pPr>
      <w:r>
        <w:rPr/>
        <w:t>Cameron McKenna LLP</w:t>
      </w:r>
    </w:p>
    <w:p>
      <w:pPr>
        <w:pStyle w:val="Normal"/>
        <w:spacing w:before="0" w:after="120"/>
        <w:ind w:start="3960" w:end="0"/>
        <w:rPr/>
      </w:pPr>
      <w:r>
        <w:rPr/>
      </w:r>
    </w:p>
    <w:p>
      <w:pPr>
        <w:pStyle w:val="Normal"/>
        <w:spacing w:before="0" w:after="0"/>
        <w:ind w:start="3960" w:end="0"/>
        <w:rPr/>
      </w:pPr>
      <w:r>
        <w:rPr/>
        <w:t>Representatives for the Electric Energy Group:</w:t>
      </w:r>
    </w:p>
    <w:p>
      <w:pPr>
        <w:pStyle w:val="Normal"/>
        <w:tabs>
          <w:tab w:val="clear" w:pos="720"/>
          <w:tab w:val="left" w:pos="3960" w:leader="none"/>
        </w:tabs>
        <w:spacing w:before="0" w:after="0"/>
        <w:ind w:start="3960" w:end="0"/>
        <w:rPr/>
      </w:pPr>
      <w:r>
        <w:rPr/>
        <w:t>PG&amp;E Energy Services Corporation,</w:t>
      </w:r>
    </w:p>
    <w:p>
      <w:pPr>
        <w:pStyle w:val="Normal"/>
        <w:tabs>
          <w:tab w:val="clear" w:pos="720"/>
          <w:tab w:val="left" w:pos="3960" w:leader="none"/>
        </w:tabs>
        <w:spacing w:before="0" w:after="0"/>
        <w:ind w:start="3960" w:end="0"/>
        <w:rPr/>
      </w:pPr>
      <w:r>
        <w:rPr/>
        <w:t xml:space="preserve">Hafslund Energy Trading, LLC, and </w:t>
      </w:r>
    </w:p>
    <w:p>
      <w:pPr>
        <w:pStyle w:val="Normal"/>
        <w:tabs>
          <w:tab w:val="clear" w:pos="720"/>
          <w:tab w:val="left" w:pos="3960" w:leader="none"/>
        </w:tabs>
        <w:spacing w:before="0" w:after="0"/>
        <w:ind w:start="3960" w:end="0"/>
        <w:rPr/>
      </w:pPr>
      <w:r>
        <w:rPr/>
        <w:t>California Polar Power Brokers LLC</w:t>
      </w:r>
    </w:p>
    <w:p>
      <w:pPr>
        <w:pStyle w:val="Normal"/>
        <w:spacing w:before="0" w:after="120"/>
        <w:rPr>
          <w:b/>
        </w:rPr>
      </w:pPr>
      <w:r>
        <w:rPr>
          <w:b/>
        </w:rPr>
      </w:r>
    </w:p>
    <w:p>
      <w:pPr>
        <w:pStyle w:val="Normal"/>
        <w:tabs>
          <w:tab w:val="left" w:pos="720" w:leader="none"/>
        </w:tabs>
        <w:spacing w:before="0" w:after="0"/>
        <w:rPr/>
      </w:pPr>
      <w:r>
        <w:rPr/>
        <w:t>cc:</w:t>
        <w:tab/>
        <w:t xml:space="preserve">Hon. Brooksley E. Born </w:t>
      </w:r>
    </w:p>
    <w:p>
      <w:pPr>
        <w:pStyle w:val="Header"/>
        <w:tabs>
          <w:tab w:val="clear" w:pos="4320"/>
          <w:tab w:val="clear" w:pos="8640"/>
          <w:tab w:val="left" w:pos="720" w:leader="none"/>
        </w:tabs>
        <w:spacing w:before="0" w:after="0"/>
        <w:rPr>
          <w:rFonts w:ascii="Times New Roman" w:hAnsi="Times New Roman" w:cs="Times New Roman"/>
        </w:rPr>
      </w:pPr>
      <w:r>
        <w:rPr>
          <w:rFonts w:cs="Times New Roman" w:ascii="Times New Roman" w:hAnsi="Times New Roman"/>
        </w:rPr>
        <w:tab/>
        <w:t xml:space="preserve">Hon. Barbara P. Holum </w:t>
      </w:r>
    </w:p>
    <w:p>
      <w:pPr>
        <w:pStyle w:val="Header"/>
        <w:tabs>
          <w:tab w:val="clear" w:pos="4320"/>
          <w:tab w:val="clear" w:pos="8640"/>
          <w:tab w:val="left" w:pos="720" w:leader="none"/>
        </w:tabs>
        <w:spacing w:before="0" w:after="0"/>
        <w:rPr>
          <w:rFonts w:ascii="Times New Roman" w:hAnsi="Times New Roman" w:cs="Times New Roman"/>
        </w:rPr>
      </w:pPr>
      <w:r>
        <w:rPr>
          <w:rFonts w:cs="Times New Roman" w:ascii="Times New Roman" w:hAnsi="Times New Roman"/>
        </w:rPr>
        <w:tab/>
        <w:t>Hon. David D. Spears</w:t>
      </w:r>
    </w:p>
    <w:p>
      <w:pPr>
        <w:pStyle w:val="Normal"/>
        <w:tabs>
          <w:tab w:val="left" w:pos="720" w:leader="none"/>
        </w:tabs>
        <w:spacing w:before="0" w:after="0"/>
        <w:rPr/>
      </w:pPr>
      <w:r>
        <w:rPr/>
        <w:tab/>
        <w:t xml:space="preserve">Hon. James E. Newsome </w:t>
      </w:r>
    </w:p>
    <w:p>
      <w:pPr>
        <w:pStyle w:val="Normal"/>
        <w:tabs>
          <w:tab w:val="left" w:pos="720" w:leader="none"/>
        </w:tabs>
        <w:spacing w:before="0" w:after="0"/>
        <w:rPr/>
      </w:pPr>
      <w:r>
        <w:rPr/>
        <w:tab/>
        <w:t xml:space="preserve">Elizabeth L. R. Fox, Esq. </w:t>
      </w:r>
    </w:p>
    <w:p>
      <w:pPr>
        <w:pStyle w:val="Normal"/>
        <w:tabs>
          <w:tab w:val="left" w:pos="720" w:leader="none"/>
        </w:tabs>
        <w:spacing w:before="0" w:after="0"/>
        <w:rPr/>
      </w:pPr>
      <w:r>
        <w:rPr/>
        <w:tab/>
        <w:t xml:space="preserve">Daniel R. Waldman, Esq. </w:t>
      </w:r>
    </w:p>
    <w:sectPr>
      <w:headerReference w:type="default" r:id="rId2"/>
      <w:headerReference w:type="first" r:id="rId3"/>
      <w:footerReference w:type="default" r:id="rId4"/>
      <w:footerReference w:type="first" r:id="rId5"/>
      <w:footnotePr>
        <w:numFmt w:val="decimal"/>
      </w:footnotePr>
      <w:type w:val="nextPage"/>
      <w:pgSz w:w="12240" w:h="15840"/>
      <w:pgMar w:left="1800" w:right="1800" w:gutter="0" w:header="360" w:top="1440" w:footer="36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Univers">
    <w:charset w:val="00" w:characterSet="windows-1252"/>
    <w:family w:val="swiss"/>
    <w:pitch w:val="variable"/>
  </w:font>
  <w:font w:name="Univers (W1)">
    <w:altName w:val="Arial"/>
    <w:charset w:val="00" w:characterSet="windows-1252"/>
    <w:family w:val="swiss"/>
    <w:pitch w:val="variable"/>
  </w:font>
  <w:font w:name="Garamond MT">
    <w:altName w:val="Garamond"/>
    <w:charset w:val="00" w:characterSet="windows-1252"/>
    <w:family w:val="roman"/>
    <w:pitch w:val="variable"/>
  </w:font>
  <w:font w:name="Liberation Sans">
    <w:altName w:val="Arial"/>
    <w:charset w:val="01" w:characterSet="utf-8"/>
    <w:family w:val="swiss"/>
    <w:pitch w:val="variable"/>
  </w:font>
  <w:font w:name="Antique Olive">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0"/>
      <w:jc w:val="center"/>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r>
      <w:rPr>
        <w:rStyle w:val="PageNumber"/>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0"/>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tabs>
          <w:tab w:val="clear" w:pos="720"/>
          <w:tab w:val="left" w:pos="360" w:leader="none"/>
        </w:tabs>
        <w:rPr/>
      </w:pPr>
      <w:r>
        <w:rPr>
          <w:rStyle w:val="FootnoteCharacters"/>
        </w:rPr>
        <w:footnoteRef/>
      </w:r>
      <w:r>
        <w:rPr>
          <w:rFonts w:cs="Times New Roman" w:ascii="Times New Roman" w:hAnsi="Times New Roman"/>
        </w:rPr>
        <w:t xml:space="preserve"> </w:t>
      </w:r>
      <w:r>
        <w:rPr>
          <w:rFonts w:cs="Times New Roman" w:ascii="Times New Roman" w:hAnsi="Times New Roman"/>
        </w:rPr>
        <w:tab/>
        <w:t>The Electric Energy Group consists of the following companies: PG&amp;E Energy Services Corporation, 345 California Street, 32</w:t>
      </w:r>
      <w:r>
        <w:rPr>
          <w:rFonts w:cs="Times New Roman" w:ascii="Times New Roman" w:hAnsi="Times New Roman"/>
          <w:vertAlign w:val="superscript"/>
        </w:rPr>
        <w:t>nd</w:t>
      </w:r>
      <w:r>
        <w:rPr>
          <w:rFonts w:cs="Times New Roman" w:ascii="Times New Roman" w:hAnsi="Times New Roman"/>
        </w:rPr>
        <w:t xml:space="preserve"> Floor, San Francisco, CA 94104; Hafslund Energy Trading, LLC, 160 Spear Street, Suite 1775, San Francisco, CA 94105 and California Polar Power Brokers LLC, 503 Divisadero Street, San Francisco, CA 94117.</w:t>
      </w:r>
    </w:p>
    <w:p>
      <w:pPr>
        <w:pStyle w:val="FootnoteText"/>
        <w:tabs>
          <w:tab w:val="left" w:pos="720" w:leader="none"/>
        </w:tabs>
        <w:spacing w:before="0" w:after="60"/>
        <w:rPr>
          <w:rFonts w:ascii="Times New Roman" w:hAnsi="Times New Roman" w:cs="Times New Roman"/>
        </w:rPr>
      </w:pPr>
      <w:r>
        <w:rPr>
          <w:rFonts w:cs="Times New Roman" w:ascii="Times New Roman" w:hAnsi="Times New Roman"/>
        </w:rPr>
      </w:r>
    </w:p>
  </w:footnote>
  <w:footnote w:id="3">
    <w:p>
      <w:pPr>
        <w:pStyle w:val="FootnoteText"/>
        <w:tabs>
          <w:tab w:val="clear" w:pos="720"/>
          <w:tab w:val="left" w:pos="360" w:leader="none"/>
        </w:tabs>
        <w:spacing w:before="0" w:after="60"/>
        <w:rPr/>
      </w:pPr>
      <w:r>
        <w:rPr>
          <w:rStyle w:val="FootnoteCharacters"/>
        </w:rPr>
        <w:footnoteRef/>
      </w:r>
      <w:r>
        <w:rPr>
          <w:rFonts w:cs="Times New Roman" w:ascii="Times New Roman" w:hAnsi="Times New Roman"/>
        </w:rPr>
        <w:t xml:space="preserve"> </w:t>
      </w:r>
      <w:r>
        <w:rPr>
          <w:rFonts w:cs="Times New Roman" w:ascii="Times New Roman" w:hAnsi="Times New Roman"/>
        </w:rPr>
        <w:tab/>
        <w:t xml:space="preserve">Exemption for Certain Contracts Involving Energy Products, 58 Fed. Reg. 21,286 (CFTC 1990). </w:t>
      </w:r>
    </w:p>
  </w:footnote>
  <w:footnote w:id="4">
    <w:p>
      <w:pPr>
        <w:pStyle w:val="FootnoteText"/>
        <w:tabs>
          <w:tab w:val="clear" w:pos="720"/>
          <w:tab w:val="left" w:pos="360" w:leader="none"/>
        </w:tabs>
        <w:spacing w:before="0" w:after="60"/>
        <w:rPr/>
      </w:pPr>
      <w:r>
        <w:rPr>
          <w:rStyle w:val="FootnoteCharacters"/>
        </w:rPr>
        <w:footnoteRef/>
      </w:r>
      <w:r>
        <w:rPr>
          <w:rFonts w:cs="Times New Roman" w:ascii="Times New Roman" w:hAnsi="Times New Roman"/>
        </w:rPr>
        <w:t xml:space="preserve"> </w:t>
      </w:r>
      <w:r>
        <w:rPr>
          <w:rFonts w:cs="Times New Roman" w:ascii="Times New Roman" w:hAnsi="Times New Roman"/>
        </w:rPr>
        <w:tab/>
        <w:t xml:space="preserve">7 U.S.C. 2. </w:t>
      </w:r>
    </w:p>
  </w:footnote>
  <w:footnote w:id="5">
    <w:p>
      <w:pPr>
        <w:pStyle w:val="FootnoteText"/>
        <w:tabs>
          <w:tab w:val="clear" w:pos="720"/>
          <w:tab w:val="left" w:pos="360" w:leader="none"/>
        </w:tabs>
        <w:spacing w:before="0" w:after="60"/>
        <w:rPr/>
      </w:pPr>
      <w:r>
        <w:rPr>
          <w:rStyle w:val="FootnoteCharacters"/>
        </w:rPr>
        <w:footnoteRef/>
      </w:r>
      <w:r>
        <w:rPr>
          <w:rFonts w:cs="Times New Roman" w:ascii="Times New Roman" w:hAnsi="Times New Roman"/>
        </w:rPr>
        <w:t xml:space="preserve"> </w:t>
      </w:r>
      <w:r>
        <w:rPr>
          <w:rFonts w:cs="Times New Roman" w:ascii="Times New Roman" w:hAnsi="Times New Roman"/>
        </w:rPr>
        <w:tab/>
        <w:t>CEA section 4(a), 7 U.S.C. 6(a).  This prohibition does not apply to futures contracts traded on a foreign exchange.</w:t>
      </w:r>
    </w:p>
  </w:footnote>
  <w:footnote w:id="6">
    <w:p>
      <w:pPr>
        <w:pStyle w:val="FootnoteText"/>
        <w:tabs>
          <w:tab w:val="clear" w:pos="720"/>
          <w:tab w:val="left" w:pos="360" w:leader="none"/>
        </w:tabs>
        <w:rPr/>
      </w:pPr>
      <w:r>
        <w:rPr>
          <w:rStyle w:val="FootnoteCharacters"/>
        </w:rPr>
        <w:footnoteRef/>
      </w:r>
      <w:r>
        <w:rPr>
          <w:rFonts w:cs="Times New Roman" w:ascii="Times New Roman" w:hAnsi="Times New Roman"/>
        </w:rPr>
        <w:t xml:space="preserve"> </w:t>
      </w:r>
      <w:r>
        <w:rPr>
          <w:rFonts w:cs="Times New Roman" w:ascii="Times New Roman" w:hAnsi="Times New Roman"/>
        </w:rPr>
        <w:tab/>
        <w:t xml:space="preserve">Specifically, CEA section 4(c)(1), 7 U.S.C. 6(c)(1), provides: </w:t>
      </w:r>
    </w:p>
    <w:p>
      <w:pPr>
        <w:pStyle w:val="FootnoteText"/>
        <w:tabs>
          <w:tab w:val="clear" w:pos="720"/>
          <w:tab w:val="left" w:pos="360" w:leader="none"/>
        </w:tabs>
        <w:spacing w:before="0" w:after="60"/>
        <w:rPr>
          <w:rFonts w:ascii="Times New Roman" w:hAnsi="Times New Roman" w:cs="Times New Roman"/>
        </w:rPr>
      </w:pPr>
      <w:r>
        <w:rPr>
          <w:rFonts w:cs="Times New Roman" w:ascii="Times New Roman" w:hAnsi="Times New Roman"/>
        </w:rPr>
        <w:tab/>
        <w:t>“In order to promote responsible economic or financial innovation and fair competition, the Commission by rule, regulation, or order, after notice and opportunity for hearing, may (on its own initiative or on application of any person including any board of trade designated as a contract market for transactions for future delivery in any commodity under section 5 of this Act) exempt any agreement, contract, or transaction (or class thereof) that is otherwise subject to subsection (a) (including any person or class of persons offering, entering into, rendering advice or rendering other services with respect to, the agreement, contract, or transaction), either unconditionally or on stated terms or conditions or for stated periods and either retroactively or prospectively, or both, from any of the requirements of subsection (a), or from any other provision of this Act (except section 2(a)(1)(B)), if the Commission determines that the exemption would be consistent with the public interest.”</w:t>
      </w:r>
    </w:p>
  </w:footnote>
  <w:footnote w:id="7">
    <w:p>
      <w:pPr>
        <w:pStyle w:val="FootnoteText"/>
        <w:tabs>
          <w:tab w:val="left" w:pos="360" w:leader="none"/>
          <w:tab w:val="left" w:pos="720" w:leader="none"/>
        </w:tabs>
        <w:spacing w:before="0" w:after="60"/>
        <w:rPr/>
      </w:pPr>
      <w:r>
        <w:rPr>
          <w:rStyle w:val="FootnoteCharacters"/>
        </w:rPr>
        <w:footnoteRef/>
      </w:r>
      <w:r>
        <w:rPr>
          <w:rFonts w:cs="Times New Roman" w:ascii="Times New Roman" w:hAnsi="Times New Roman"/>
        </w:rPr>
        <w:t xml:space="preserve"> </w:t>
      </w:r>
      <w:r>
        <w:rPr>
          <w:rFonts w:cs="Times New Roman" w:ascii="Times New Roman" w:hAnsi="Times New Roman"/>
        </w:rPr>
        <w:tab/>
        <w:t>CEA section 4(c)(2), 7 U.S.C. 6(c)(2).</w:t>
      </w:r>
    </w:p>
  </w:footnote>
  <w:footnote w:id="8">
    <w:p>
      <w:pPr>
        <w:pStyle w:val="FootnoteText"/>
        <w:tabs>
          <w:tab w:val="clear" w:pos="720"/>
          <w:tab w:val="left" w:pos="360" w:leader="none"/>
        </w:tabs>
        <w:spacing w:before="0" w:after="60"/>
        <w:rPr/>
      </w:pPr>
      <w:r>
        <w:rPr>
          <w:rStyle w:val="FootnoteCharacters"/>
        </w:rPr>
        <w:footnoteRef/>
      </w:r>
      <w:r>
        <w:rPr>
          <w:rFonts w:cs="Times New Roman" w:ascii="Times New Roman" w:hAnsi="Times New Roman"/>
        </w:rPr>
        <w:t xml:space="preserve"> </w:t>
      </w:r>
      <w:r>
        <w:rPr>
          <w:rFonts w:cs="Times New Roman" w:ascii="Times New Roman" w:hAnsi="Times New Roman"/>
        </w:rPr>
        <w:tab/>
        <w:t>58 Fed. Reg. 21,286 (1993); [1992 to 1994 Transfer Binder] Com. Fut. L. Rep. (CCH) para. 25,633, p. 40,0298.</w:t>
      </w:r>
    </w:p>
  </w:footnote>
  <w:footnote w:id="9">
    <w:p>
      <w:pPr>
        <w:pStyle w:val="FootnoteText"/>
        <w:tabs>
          <w:tab w:val="clear" w:pos="720"/>
          <w:tab w:val="left" w:pos="360" w:leader="none"/>
        </w:tabs>
        <w:spacing w:before="0" w:after="60"/>
        <w:rPr/>
      </w:pPr>
      <w:r>
        <w:rPr>
          <w:rStyle w:val="FootnoteCharacters"/>
        </w:rPr>
        <w:footnoteRef/>
      </w:r>
      <w:r>
        <w:rPr>
          <w:rFonts w:cs="Times New Roman" w:ascii="Times New Roman" w:hAnsi="Times New Roman"/>
        </w:rPr>
        <w:t xml:space="preserve"> </w:t>
      </w:r>
      <w:r>
        <w:rPr>
          <w:rFonts w:cs="Times New Roman" w:ascii="Times New Roman" w:hAnsi="Times New Roman"/>
        </w:rPr>
        <w:tab/>
        <w:t>58 Fed. Reg. 21,286 (1993) [1992 to 1994 Transfer Binder] Com. Fut. L. Rep. (CCH) para. 25,633, p. 40,023, citing H.R. Rep. No. 978, 102d Cong., 2d Sess. 80-81 (1992).</w:t>
      </w:r>
    </w:p>
  </w:footnote>
  <w:footnote w:id="10">
    <w:p>
      <w:pPr>
        <w:pStyle w:val="FootnoteText"/>
        <w:tabs>
          <w:tab w:val="clear" w:pos="720"/>
          <w:tab w:val="left" w:pos="360" w:leader="none"/>
        </w:tabs>
        <w:spacing w:before="0" w:after="60"/>
        <w:rPr/>
      </w:pPr>
      <w:r>
        <w:rPr>
          <w:rStyle w:val="FootnoteCharacters"/>
        </w:rPr>
        <w:footnoteRef/>
      </w:r>
      <w:r>
        <w:rPr>
          <w:rFonts w:cs="Times New Roman" w:ascii="Times New Roman" w:hAnsi="Times New Roman"/>
        </w:rPr>
        <w:t xml:space="preserve"> </w:t>
      </w:r>
      <w:r>
        <w:rPr>
          <w:rFonts w:cs="Times New Roman" w:ascii="Times New Roman" w:hAnsi="Times New Roman"/>
        </w:rPr>
        <w:tab/>
        <w:t>[1992 to 1994 Transfer Binder] Com. Fut. L.Rep. (CCH) para. 25,633, p. 40,023, fn. 7.</w:t>
      </w:r>
    </w:p>
  </w:footnote>
  <w:footnote w:id="11">
    <w:p>
      <w:pPr>
        <w:pStyle w:val="FootnoteText"/>
        <w:tabs>
          <w:tab w:val="clear" w:pos="720"/>
          <w:tab w:val="left" w:pos="360" w:leader="none"/>
        </w:tabs>
        <w:spacing w:before="0" w:after="60"/>
        <w:rPr/>
      </w:pPr>
      <w:r>
        <w:rPr>
          <w:rStyle w:val="FootnoteCharacters"/>
        </w:rPr>
        <w:footnoteRef/>
      </w:r>
      <w:r>
        <w:rPr>
          <w:rFonts w:cs="Times New Roman" w:ascii="Times New Roman" w:hAnsi="Times New Roman"/>
        </w:rPr>
        <w:t xml:space="preserve"> </w:t>
      </w:r>
      <w:r>
        <w:rPr>
          <w:rFonts w:cs="Times New Roman" w:ascii="Times New Roman" w:hAnsi="Times New Roman"/>
        </w:rPr>
        <w:tab/>
        <w:t>58 Fed. Reg. 21,286 (1993); [1992 to 1994 Transfer Binder] Com. Fut. L. Rep. (CCH) para. 25,633, p. 40,024, citing H.R. Conf. Rep. No. 978, 102d Cong., 2d Sess. 80-81 (1992).</w:t>
      </w:r>
    </w:p>
  </w:footnote>
  <w:footnote w:id="12">
    <w:p>
      <w:pPr>
        <w:pStyle w:val="FootnoteText"/>
        <w:tabs>
          <w:tab w:val="left" w:pos="720" w:leader="none"/>
        </w:tabs>
        <w:spacing w:before="0" w:after="60"/>
        <w:rPr/>
      </w:pPr>
      <w:r>
        <w:rPr>
          <w:rStyle w:val="FootnoteCharacters"/>
        </w:rPr>
        <w:footnoteRef/>
      </w:r>
      <w:r>
        <w:rPr>
          <w:rFonts w:cs="Times New Roman" w:ascii="Times New Roman" w:hAnsi="Times New Roman"/>
        </w:rPr>
        <w:t xml:space="preserve"> </w:t>
      </w:r>
      <w:r>
        <w:rPr>
          <w:rFonts w:cs="Times New Roman" w:ascii="Times New Roman" w:hAnsi="Times New Roman"/>
        </w:rPr>
        <w:tab/>
        <w:t>58 Fed. Reg. 21,286 (1993); [1992 to 1994 Transfer Binder] Com. Fut. L. Rep. (CCH),. para. 25,633, p.40,024.</w:t>
      </w:r>
    </w:p>
  </w:footnote>
  <w:footnote w:id="13">
    <w:p>
      <w:pPr>
        <w:pStyle w:val="FootnoteText"/>
        <w:tabs>
          <w:tab w:val="left" w:pos="720" w:leader="none"/>
        </w:tabs>
        <w:spacing w:before="0" w:after="60"/>
        <w:rPr/>
      </w:pPr>
      <w:r>
        <w:rPr>
          <w:rStyle w:val="FootnoteCharacters"/>
        </w:rPr>
        <w:footnoteRef/>
      </w:r>
      <w:r>
        <w:rPr>
          <w:rFonts w:cs="Times New Roman" w:ascii="Times New Roman" w:hAnsi="Times New Roman"/>
        </w:rPr>
        <w:t xml:space="preserve"> </w:t>
      </w:r>
      <w:r>
        <w:rPr>
          <w:rFonts w:cs="Times New Roman" w:ascii="Times New Roman" w:hAnsi="Times New Roman"/>
        </w:rPr>
        <w:tab/>
        <w:t>58 Fed. Reg. 21,286 (1993) [1992 to 1994 Transfer Binder] Com. Fut. L. Rep. (CCH) para. 25,633, p. 40,024, citing H.R. Conf. Rep. No. 978, 102d Cong., 2d Sess. 80-81 (1992).</w:t>
      </w:r>
    </w:p>
  </w:footnote>
  <w:footnote w:id="14">
    <w:p>
      <w:pPr>
        <w:pStyle w:val="FootnoteText"/>
        <w:tabs>
          <w:tab w:val="left" w:pos="720" w:leader="none"/>
        </w:tabs>
        <w:spacing w:before="0" w:after="60"/>
        <w:rPr/>
      </w:pPr>
      <w:r>
        <w:rPr>
          <w:rStyle w:val="FootnoteCharacters"/>
        </w:rPr>
        <w:footnoteRef/>
      </w:r>
      <w:r>
        <w:rPr>
          <w:rFonts w:cs="Times New Roman" w:ascii="Times New Roman" w:hAnsi="Times New Roman"/>
        </w:rPr>
        <w:t xml:space="preserve"> </w:t>
      </w:r>
      <w:r>
        <w:rPr>
          <w:rFonts w:cs="Times New Roman" w:ascii="Times New Roman" w:hAnsi="Times New Roman"/>
        </w:rPr>
        <w:tab/>
        <w:t>58 Fed. Reg. 21,286 (1993); [1992 to 1994 Transfer Binder] Comm. Fut. L. Rep. (CCH) para. 25, 633, p. 40,031, citing, H.R. Conf. Rep. No. 978, 102d Cong., 2d Sess. 80-81 (1992).</w:t>
      </w:r>
    </w:p>
  </w:footnote>
  <w:footnote w:id="15">
    <w:p>
      <w:pPr>
        <w:pStyle w:val="FootnoteText"/>
        <w:tabs>
          <w:tab w:val="left" w:pos="720" w:leader="none"/>
        </w:tabs>
        <w:spacing w:before="0" w:after="60"/>
        <w:rPr/>
      </w:pPr>
      <w:r>
        <w:rPr>
          <w:rStyle w:val="FootnoteCharacters"/>
        </w:rPr>
        <w:footnoteRef/>
      </w:r>
      <w:r>
        <w:rPr>
          <w:rFonts w:cs="Times New Roman" w:ascii="Times New Roman" w:hAnsi="Times New Roman"/>
        </w:rPr>
        <w:t xml:space="preserve"> </w:t>
      </w:r>
      <w:r>
        <w:rPr>
          <w:rFonts w:cs="Times New Roman" w:ascii="Times New Roman" w:hAnsi="Times New Roman"/>
        </w:rPr>
        <w:tab/>
        <w:t>58 Fed. Reg. 21,286 (1993); [1992 to 1994 Transfer Binder] Comm. Fut. L. Rep. (CCH) para. 25, 633, p. 40,026, footnote 10, citing, H.R. Rep. No. 978, 80-81 (1992).</w:t>
      </w:r>
    </w:p>
  </w:footnote>
  <w:footnote w:id="16">
    <w:p>
      <w:pPr>
        <w:pStyle w:val="FootnoteText"/>
        <w:tabs>
          <w:tab w:val="left" w:pos="720" w:leader="none"/>
        </w:tabs>
        <w:rPr/>
      </w:pPr>
      <w:r>
        <w:rPr>
          <w:rStyle w:val="FootnoteCharacters"/>
        </w:rPr>
        <w:footnoteRef/>
      </w:r>
      <w:r>
        <w:rPr>
          <w:rFonts w:cs="Times New Roman" w:ascii="Times New Roman" w:hAnsi="Times New Roman"/>
        </w:rPr>
        <w:t xml:space="preserve"> </w:t>
      </w:r>
      <w:r>
        <w:rPr>
          <w:rFonts w:cs="Times New Roman" w:ascii="Times New Roman" w:hAnsi="Times New Roman"/>
        </w:rPr>
        <w:tab/>
        <w:t>58 Fed. Reg. 21,286 (1993); [1992 to 1994 Transfer Binder] Com. Fut. L. Rep. (CCH) para. 25,633, p. 40,031.</w:t>
      </w:r>
    </w:p>
    <w:p>
      <w:pPr>
        <w:pStyle w:val="FootnoteText"/>
        <w:tabs>
          <w:tab w:val="left" w:pos="720" w:leader="none"/>
        </w:tabs>
        <w:spacing w:before="0" w:after="60"/>
        <w:rPr>
          <w:rFonts w:ascii="Times New Roman" w:hAnsi="Times New Roman" w:cs="Times New Roman"/>
        </w:rPr>
      </w:pPr>
      <w:r>
        <w:rPr>
          <w:rFonts w:cs="Times New Roman" w:ascii="Times New Roman" w:hAnsi="Times New Roman"/>
        </w:rPr>
      </w:r>
    </w:p>
  </w:footnote>
  <w:footnote w:id="17">
    <w:p>
      <w:pPr>
        <w:pStyle w:val="FootnoteText"/>
        <w:tabs>
          <w:tab w:val="left" w:pos="720" w:leader="none"/>
        </w:tabs>
        <w:spacing w:before="0" w:after="60"/>
        <w:rPr/>
      </w:pPr>
      <w:r>
        <w:rPr>
          <w:rStyle w:val="FootnoteCharacters"/>
        </w:rPr>
        <w:footnoteRef/>
      </w:r>
      <w:r>
        <w:rPr>
          <w:rFonts w:cs="Times New Roman" w:ascii="Times New Roman" w:hAnsi="Times New Roman"/>
        </w:rPr>
        <w:t xml:space="preserve"> </w:t>
      </w:r>
      <w:r>
        <w:rPr>
          <w:rFonts w:cs="Times New Roman" w:ascii="Times New Roman" w:hAnsi="Times New Roman"/>
        </w:rPr>
        <w:tab/>
        <w:t>58 Fed. Reg. 21,286 (1993); [1992 to 1994 Transfer Binder] Com. Fut. L. Rep. (CCH) para. 25,633, p. 40,031.</w:t>
      </w:r>
    </w:p>
  </w:footnote>
  <w:footnote w:id="18">
    <w:p>
      <w:pPr>
        <w:pStyle w:val="FootnoteText"/>
        <w:tabs>
          <w:tab w:val="left" w:pos="720" w:leader="none"/>
        </w:tabs>
        <w:spacing w:before="0" w:after="60"/>
        <w:rPr/>
      </w:pPr>
      <w:r>
        <w:rPr>
          <w:rStyle w:val="FootnoteCharacters"/>
        </w:rPr>
        <w:footnoteRef/>
      </w:r>
      <w:r>
        <w:rPr>
          <w:rFonts w:cs="Times New Roman" w:ascii="Times New Roman" w:hAnsi="Times New Roman"/>
        </w:rPr>
        <w:t xml:space="preserve"> </w:t>
      </w:r>
      <w:r>
        <w:rPr>
          <w:rFonts w:cs="Times New Roman" w:ascii="Times New Roman" w:hAnsi="Times New Roman"/>
        </w:rPr>
        <w:tab/>
      </w:r>
      <w:r>
        <w:rPr>
          <w:rFonts w:cs="Times New Roman" w:ascii="Times New Roman" w:hAnsi="Times New Roman"/>
          <w:color w:val="000000"/>
        </w:rPr>
        <w:t>Energy Policy Act of 1992, Pub. L. No. 102-486, 106 Stat. 2776, 2905 (1992).</w:t>
      </w:r>
    </w:p>
  </w:footnote>
  <w:footnote w:id="19">
    <w:p>
      <w:pPr>
        <w:pStyle w:val="FootnoteText"/>
        <w:tabs>
          <w:tab w:val="left" w:pos="720" w:leader="none"/>
        </w:tabs>
        <w:spacing w:before="0" w:after="60"/>
        <w:rPr/>
      </w:pPr>
      <w:r>
        <w:rPr>
          <w:rStyle w:val="FootnoteCharacters"/>
        </w:rPr>
        <w:footnoteRef/>
      </w:r>
      <w:r>
        <w:rPr>
          <w:rFonts w:cs="Times New Roman" w:ascii="Times New Roman" w:hAnsi="Times New Roman"/>
        </w:rPr>
        <w:t xml:space="preserve"> </w:t>
      </w:r>
      <w:r>
        <w:rPr>
          <w:rFonts w:cs="Times New Roman" w:ascii="Times New Roman" w:hAnsi="Times New Roman"/>
        </w:rPr>
        <w:tab/>
        <w:t>See, Financial Derivatives Supervisory Improvement Act of 1998: Full Committee Hearing on H.R. 4062 Before the U.S. House of Representatives Committee on Banking and Financial Services, 105th Cong., Segment 2, Appendix 313 (1998) (prepared statement of Brooksley Born, Chairperson, CFTC, Section V).</w:t>
      </w:r>
    </w:p>
  </w:footnote>
  <w:footnote w:id="20">
    <w:p>
      <w:pPr>
        <w:pStyle w:val="FootnoteText"/>
        <w:tabs>
          <w:tab w:val="left" w:pos="720" w:leader="none"/>
        </w:tabs>
        <w:spacing w:before="0" w:after="60"/>
        <w:rPr/>
      </w:pPr>
      <w:r>
        <w:rPr>
          <w:rStyle w:val="FootnoteCharacters"/>
        </w:rPr>
        <w:footnoteRef/>
      </w:r>
      <w:r>
        <w:rPr>
          <w:rFonts w:cs="Times New Roman" w:ascii="Times New Roman" w:hAnsi="Times New Roman"/>
        </w:rPr>
        <w:t xml:space="preserve"> </w:t>
      </w:r>
      <w:r>
        <w:rPr>
          <w:rFonts w:cs="Times New Roman" w:ascii="Times New Roman" w:hAnsi="Times New Roman"/>
        </w:rPr>
        <w:tab/>
        <w:t>H.R. Conf. Rep. No. 978, 81 (1992).</w:t>
      </w:r>
    </w:p>
  </w:footnote>
  <w:footnote w:id="21">
    <w:p>
      <w:pPr>
        <w:pStyle w:val="FootnoteText"/>
        <w:tabs>
          <w:tab w:val="left" w:pos="720" w:leader="none"/>
        </w:tabs>
        <w:spacing w:before="0" w:after="60"/>
        <w:rPr/>
      </w:pPr>
      <w:r>
        <w:rPr>
          <w:rStyle w:val="FootnoteCharacters"/>
        </w:rPr>
        <w:footnoteRef/>
      </w:r>
      <w:r>
        <w:rPr>
          <w:rFonts w:cs="Times New Roman" w:ascii="Times New Roman" w:hAnsi="Times New Roman"/>
        </w:rPr>
        <w:t xml:space="preserve"> </w:t>
      </w:r>
      <w:r>
        <w:rPr>
          <w:rFonts w:cs="Times New Roman" w:ascii="Times New Roman" w:hAnsi="Times New Roman"/>
        </w:rPr>
        <w:tab/>
        <w:t>H.R. Conf. Rep. No. 978, 81 (1992).</w:t>
      </w:r>
    </w:p>
  </w:footnote>
  <w:footnote w:id="22">
    <w:p>
      <w:pPr>
        <w:pStyle w:val="FootnoteText"/>
        <w:tabs>
          <w:tab w:val="left" w:pos="720" w:leader="none"/>
        </w:tabs>
        <w:spacing w:before="0" w:after="60"/>
        <w:rPr/>
      </w:pPr>
      <w:r>
        <w:rPr>
          <w:rStyle w:val="FootnoteCharacters"/>
        </w:rPr>
        <w:footnoteRef/>
      </w:r>
      <w:r>
        <w:rPr>
          <w:rFonts w:cs="Times New Roman" w:ascii="Times New Roman" w:hAnsi="Times New Roman"/>
        </w:rPr>
        <w:t xml:space="preserve"> </w:t>
      </w:r>
      <w:r>
        <w:rPr>
          <w:rFonts w:cs="Times New Roman" w:ascii="Times New Roman" w:hAnsi="Times New Roman"/>
        </w:rPr>
        <w:tab/>
        <w:t>The proposed exemption would not, however, restrict the Commission’s authority under Sections 6(b), and 6(o) and 5(b) of the Act with respect to manipulation or attempted manipulation of the prices of commodities in the cash market.</w:t>
      </w:r>
    </w:p>
  </w:footnote>
  <w:footnote w:id="23">
    <w:p>
      <w:pPr>
        <w:pStyle w:val="FootnoteText"/>
        <w:tabs>
          <w:tab w:val="left" w:pos="720" w:leader="none"/>
        </w:tabs>
        <w:spacing w:before="0" w:after="60"/>
        <w:rPr/>
      </w:pPr>
      <w:r>
        <w:rPr>
          <w:rStyle w:val="FootnoteCharacters"/>
        </w:rPr>
        <w:footnoteRef/>
      </w:r>
      <w:r>
        <w:rPr>
          <w:rFonts w:cs="Times New Roman" w:ascii="Times New Roman" w:hAnsi="Times New Roman"/>
        </w:rPr>
        <w:t xml:space="preserve"> </w:t>
      </w:r>
      <w:r>
        <w:rPr>
          <w:rFonts w:cs="Times New Roman" w:ascii="Times New Roman" w:hAnsi="Times New Roman"/>
        </w:rPr>
        <w:tab/>
        <w:t>In entering into a Commercial Contract a person must have a reasonable basis to believe that its counterparty is an eligible participant in the transaction, which may (but which is not required to) be based on representations from the counterparty.</w:t>
      </w:r>
    </w:p>
  </w:footnote>
  <w:footnote w:id="24">
    <w:p>
      <w:pPr>
        <w:pStyle w:val="FootnoteText"/>
        <w:tabs>
          <w:tab w:val="left" w:pos="720" w:leader="none"/>
        </w:tabs>
        <w:spacing w:before="0" w:after="60"/>
        <w:rPr/>
      </w:pPr>
      <w:r>
        <w:rPr>
          <w:rStyle w:val="FootnoteCharacters"/>
        </w:rPr>
        <w:footnoteRef/>
      </w:r>
      <w:r>
        <w:rPr>
          <w:rFonts w:cs="Times New Roman" w:ascii="Times New Roman" w:hAnsi="Times New Roman"/>
        </w:rPr>
        <w:t xml:space="preserve"> </w:t>
      </w:r>
      <w:r>
        <w:rPr>
          <w:rFonts w:cs="Times New Roman" w:ascii="Times New Roman" w:hAnsi="Times New Roman"/>
        </w:rPr>
        <w:tab/>
        <w:t>The requirement that a Commercial Contract be a principal-to-principal transaction will not preclude the use of brokers (acting as agents or riskless principals) or other agents in connection with the negotiation and settlement of a Contract.  In addition, any such brokers or agents, along with any persons rendering advice or other services with respect to a Commercial Contract, will be covered by the exemption.</w:t>
      </w:r>
    </w:p>
  </w:footnote>
  <w:footnote w:id="25">
    <w:p>
      <w:pPr>
        <w:pStyle w:val="FootnoteText"/>
        <w:tabs>
          <w:tab w:val="left" w:pos="720" w:leader="none"/>
        </w:tabs>
        <w:rPr/>
      </w:pPr>
      <w:r>
        <w:rPr>
          <w:rStyle w:val="FootnoteCharacters"/>
        </w:rPr>
        <w:footnoteRef/>
      </w:r>
      <w:r>
        <w:rPr>
          <w:rFonts w:cs="Times New Roman" w:ascii="Times New Roman" w:hAnsi="Times New Roman"/>
        </w:rPr>
        <w:t xml:space="preserve"> </w:t>
      </w:r>
      <w:r>
        <w:rPr>
          <w:rFonts w:cs="Times New Roman" w:ascii="Times New Roman" w:hAnsi="Times New Roman"/>
        </w:rPr>
        <w:tab/>
        <w:t>The Commission’s issuance of the exemption should not be construed to mean that Commercial Contracts are subject to the Act. See, H.R. Conf. Rep. No. 978, 82-83.  In addition, the exemption should have no effect on the applicability of any relief previously issued by the Commission or its staff with respect to Commercial Contracts.</w:t>
      </w:r>
    </w:p>
    <w:p>
      <w:pPr>
        <w:pStyle w:val="FootnoteText"/>
        <w:tabs>
          <w:tab w:val="left" w:pos="720" w:leader="none"/>
        </w:tabs>
        <w:spacing w:before="0" w:after="60"/>
        <w:rPr>
          <w:rFonts w:ascii="Times New Roman" w:hAnsi="Times New Roman" w:cs="Times New Roman"/>
        </w:rPr>
      </w:pPr>
      <w:r>
        <w:rPr>
          <w:rFonts w:cs="Times New Roman" w:ascii="Times New Roman" w:hAnsi="Times New Roman"/>
        </w:rPr>
      </w:r>
    </w:p>
  </w:footnote>
  <w:footnote w:id="26">
    <w:p>
      <w:pPr>
        <w:pStyle w:val="FootnoteText"/>
        <w:tabs>
          <w:tab w:val="left" w:pos="720" w:leader="none"/>
        </w:tabs>
        <w:rPr/>
      </w:pPr>
      <w:r>
        <w:rPr>
          <w:rStyle w:val="FootnoteCharacters"/>
        </w:rPr>
        <w:footnoteRef/>
      </w:r>
      <w:r>
        <w:rPr>
          <w:rFonts w:cs="Times New Roman" w:ascii="Times New Roman" w:hAnsi="Times New Roman"/>
        </w:rPr>
        <w:t xml:space="preserve"> </w:t>
      </w:r>
      <w:r>
        <w:rPr>
          <w:rFonts w:cs="Times New Roman" w:ascii="Times New Roman" w:hAnsi="Times New Roman"/>
        </w:rPr>
        <w:tab/>
        <w:t>The use of brokers or other agents to arrange for the formation of a “chain”, or for the “book out” of transactions forming a chain, as described below, will not be deemed to constitute a centralized clearing facility.</w:t>
      </w:r>
    </w:p>
    <w:p>
      <w:pPr>
        <w:pStyle w:val="FootnoteText"/>
        <w:tabs>
          <w:tab w:val="left" w:pos="720" w:leader="none"/>
        </w:tabs>
        <w:spacing w:before="0" w:after="60"/>
        <w:rPr>
          <w:rFonts w:ascii="Times New Roman" w:hAnsi="Times New Roman" w:cs="Times New Roman"/>
        </w:rPr>
      </w:pPr>
      <w:r>
        <w:rPr>
          <w:rFonts w:cs="Times New Roman" w:ascii="Times New Roman" w:hAnsi="Times New Roman"/>
        </w:rPr>
      </w:r>
    </w:p>
  </w:footnote>
  <w:footnote w:id="27">
    <w:p>
      <w:pPr>
        <w:pStyle w:val="FootnoteText"/>
        <w:tabs>
          <w:tab w:val="left" w:pos="720" w:leader="none"/>
        </w:tabs>
        <w:spacing w:before="0" w:after="60"/>
        <w:rPr/>
      </w:pPr>
      <w:r>
        <w:rPr>
          <w:rStyle w:val="FootnoteCharacters"/>
        </w:rPr>
        <w:footnoteRef/>
      </w:r>
      <w:r>
        <w:rPr>
          <w:rFonts w:cs="Times New Roman" w:ascii="Times New Roman" w:hAnsi="Times New Roman"/>
        </w:rPr>
        <w:t xml:space="preserve"> </w:t>
      </w:r>
      <w:r>
        <w:rPr>
          <w:rFonts w:cs="Times New Roman" w:ascii="Times New Roman" w:hAnsi="Times New Roman"/>
        </w:rPr>
        <w:tab/>
        <w:t>CEA §4(a), Comm. Fut. L. Rep. (CCH) para.. 1035 (1999).</w:t>
      </w:r>
    </w:p>
  </w:footnote>
  <w:footnote w:id="28">
    <w:p>
      <w:pPr>
        <w:pStyle w:val="FootnoteText"/>
        <w:tabs>
          <w:tab w:val="left" w:pos="720" w:leader="none"/>
        </w:tabs>
        <w:spacing w:before="0" w:after="60"/>
        <w:rPr/>
      </w:pPr>
      <w:r>
        <w:rPr>
          <w:rStyle w:val="FootnoteCharacters"/>
        </w:rPr>
        <w:footnoteRef/>
      </w:r>
      <w:r>
        <w:rPr>
          <w:rFonts w:cs="Times New Roman" w:ascii="Times New Roman" w:hAnsi="Times New Roman"/>
        </w:rPr>
        <w:t xml:space="preserve"> </w:t>
      </w:r>
      <w:r>
        <w:rPr>
          <w:rFonts w:cs="Times New Roman" w:ascii="Times New Roman" w:hAnsi="Times New Roman"/>
        </w:rPr>
        <w:tab/>
        <w:t>H.R.Conf. Rep. 978, 82, citing, Transnor (Bermuda) Limited v. BP North America Petroleum, 738 F. Supp. 1472 (1990).</w:t>
      </w:r>
    </w:p>
  </w:footnote>
  <w:footnote w:id="29">
    <w:p>
      <w:pPr>
        <w:pStyle w:val="FootnoteText"/>
        <w:tabs>
          <w:tab w:val="left" w:pos="720" w:leader="none"/>
        </w:tabs>
        <w:rPr/>
      </w:pPr>
      <w:r>
        <w:rPr>
          <w:rStyle w:val="FootnoteCharacters"/>
        </w:rPr>
        <w:footnoteRef/>
      </w:r>
      <w:r>
        <w:rPr>
          <w:rFonts w:cs="Times New Roman" w:ascii="Times New Roman" w:hAnsi="Times New Roman"/>
        </w:rPr>
        <w:t xml:space="preserve"> </w:t>
      </w:r>
      <w:r>
        <w:rPr>
          <w:rFonts w:cs="Times New Roman" w:ascii="Times New Roman" w:hAnsi="Times New Roman"/>
        </w:rPr>
        <w:tab/>
        <w:t>Statutory Interpretation Concerning Forward Transactions, 55 Fed. Reg. 39,188 (CFTC 1990).</w:t>
      </w:r>
    </w:p>
    <w:p>
      <w:pPr>
        <w:pStyle w:val="FootnoteText"/>
        <w:tabs>
          <w:tab w:val="left" w:pos="720" w:leader="none"/>
        </w:tabs>
        <w:spacing w:before="0" w:after="60"/>
        <w:rPr>
          <w:rFonts w:ascii="Times New Roman" w:hAnsi="Times New Roman" w:cs="Times New Roman"/>
        </w:rPr>
      </w:pPr>
      <w:r>
        <w:rPr>
          <w:rFonts w:cs="Times New Roman" w:ascii="Times New Roman" w:hAnsi="Times New Roman"/>
        </w:rPr>
      </w:r>
    </w:p>
  </w:footnote>
  <w:footnote w:id="30">
    <w:p>
      <w:pPr>
        <w:pStyle w:val="FootnoteText"/>
        <w:tabs>
          <w:tab w:val="left" w:pos="720" w:leader="none"/>
        </w:tabs>
        <w:rPr/>
      </w:pPr>
      <w:r>
        <w:rPr>
          <w:rStyle w:val="FootnoteCharacters"/>
        </w:rPr>
        <w:footnoteRef/>
      </w:r>
      <w:r>
        <w:rPr>
          <w:rFonts w:cs="Times New Roman" w:ascii="Times New Roman" w:hAnsi="Times New Roman"/>
        </w:rPr>
        <w:t xml:space="preserve"> </w:t>
      </w:r>
      <w:r>
        <w:rPr>
          <w:rFonts w:cs="Times New Roman" w:ascii="Times New Roman" w:hAnsi="Times New Roman"/>
        </w:rPr>
        <w:tab/>
        <w:t>H.R. Conf. Rep. No. 978, 62.</w:t>
      </w:r>
    </w:p>
    <w:p>
      <w:pPr>
        <w:pStyle w:val="FootnoteText"/>
        <w:tabs>
          <w:tab w:val="left" w:pos="720" w:leader="none"/>
        </w:tabs>
        <w:spacing w:before="0" w:after="60"/>
        <w:rPr>
          <w:rFonts w:ascii="Times New Roman" w:hAnsi="Times New Roman" w:cs="Times New Roman"/>
        </w:rPr>
      </w:pPr>
      <w:r>
        <w:rPr>
          <w:rFonts w:cs="Times New Roman" w:ascii="Times New Roman" w:hAnsi="Times New Roman"/>
        </w:rPr>
      </w:r>
    </w:p>
  </w:footnote>
  <w:footnote w:id="31">
    <w:p>
      <w:pPr>
        <w:pStyle w:val="FootnoteText"/>
        <w:tabs>
          <w:tab w:val="left" w:pos="720" w:leader="none"/>
        </w:tabs>
        <w:spacing w:before="0" w:after="60"/>
        <w:rPr/>
      </w:pPr>
      <w:r>
        <w:rPr>
          <w:rStyle w:val="FootnoteCharacters"/>
        </w:rPr>
        <w:footnoteRef/>
      </w:r>
      <w:r>
        <w:rPr>
          <w:rFonts w:cs="Times New Roman" w:ascii="Times New Roman" w:hAnsi="Times New Roman"/>
        </w:rPr>
        <w:t xml:space="preserve"> </w:t>
      </w:r>
      <w:r>
        <w:rPr>
          <w:rFonts w:cs="Times New Roman" w:ascii="Times New Roman" w:hAnsi="Times New Roman"/>
        </w:rPr>
        <w:tab/>
        <w:t>The definition of “appropriate persons” includes banks, pension plans, mutual funds, commodity pools, corporations or partnerships satisfying certain financial requirements, broker-dealers, futures commission merchants and other persons, subject to a number of limitations or conditions.</w:t>
      </w:r>
    </w:p>
  </w:footnote>
  <w:footnote w:id="32">
    <w:p>
      <w:pPr>
        <w:pStyle w:val="FootnoteText"/>
        <w:tabs>
          <w:tab w:val="left" w:pos="720" w:leader="none"/>
        </w:tabs>
        <w:spacing w:before="0" w:after="60"/>
        <w:rPr/>
      </w:pPr>
      <w:r>
        <w:rPr>
          <w:rStyle w:val="FootnoteCharacters"/>
        </w:rPr>
        <w:footnoteRef/>
      </w:r>
      <w:r>
        <w:rPr>
          <w:rFonts w:cs="Times New Roman" w:ascii="Times New Roman" w:hAnsi="Times New Roman"/>
        </w:rPr>
        <w:t xml:space="preserve"> </w:t>
      </w:r>
      <w:r>
        <w:rPr>
          <w:rFonts w:cs="Times New Roman" w:ascii="Times New Roman" w:hAnsi="Times New Roman"/>
        </w:rPr>
        <w:tab/>
        <w:t>H.R. Conf. Rep. No. 978, 78.</w:t>
      </w:r>
    </w:p>
  </w:footnote>
  <w:footnote w:id="33">
    <w:p>
      <w:pPr>
        <w:pStyle w:val="FootnoteText"/>
        <w:tabs>
          <w:tab w:val="left" w:pos="720" w:leader="none"/>
        </w:tabs>
        <w:spacing w:before="0" w:after="60"/>
        <w:rPr/>
      </w:pPr>
      <w:r>
        <w:rPr>
          <w:rStyle w:val="FootnoteCharacters"/>
        </w:rPr>
        <w:footnoteRef/>
      </w:r>
      <w:r>
        <w:rPr>
          <w:rFonts w:cs="Times New Roman" w:ascii="Times New Roman" w:hAnsi="Times New Roman"/>
        </w:rPr>
        <w:t xml:space="preserve"> </w:t>
      </w:r>
      <w:r>
        <w:rPr>
          <w:rFonts w:cs="Times New Roman" w:ascii="Times New Roman" w:hAnsi="Times New Roman"/>
        </w:rPr>
        <w:tab/>
        <w:t>Regulation of Hybrid and Related Instruments, 52 Fed. Reg. 47,022 (CFTC 1987).</w:t>
      </w:r>
    </w:p>
  </w:footnote>
  <w:footnote w:id="34">
    <w:p>
      <w:pPr>
        <w:pStyle w:val="FootnoteText"/>
        <w:tabs>
          <w:tab w:val="left" w:pos="720" w:leader="none"/>
        </w:tabs>
        <w:rPr/>
      </w:pPr>
      <w:r>
        <w:rPr>
          <w:rStyle w:val="FootnoteCharacters"/>
        </w:rPr>
        <w:footnoteRef/>
      </w:r>
      <w:r>
        <w:rPr>
          <w:rFonts w:cs="Times New Roman" w:ascii="Times New Roman" w:hAnsi="Times New Roman"/>
        </w:rPr>
        <w:t xml:space="preserve"> </w:t>
      </w:r>
      <w:r>
        <w:rPr>
          <w:rFonts w:cs="Times New Roman" w:ascii="Times New Roman" w:hAnsi="Times New Roman"/>
        </w:rPr>
        <w:tab/>
        <w:t>See, H.R. Conf. Rep. No. 978, 74.</w:t>
      </w:r>
    </w:p>
    <w:p>
      <w:pPr>
        <w:pStyle w:val="FootnoteText"/>
        <w:tabs>
          <w:tab w:val="left" w:pos="720" w:leader="none"/>
        </w:tabs>
        <w:spacing w:before="0" w:after="60"/>
        <w:rPr>
          <w:rFonts w:ascii="Times New Roman" w:hAnsi="Times New Roman" w:cs="Times New Roman"/>
        </w:rPr>
      </w:pPr>
      <w:r>
        <w:rPr>
          <w:rFonts w:cs="Times New Roman" w:ascii="Times New Roman" w:hAnsi="Times New Roman"/>
        </w:rPr>
      </w:r>
    </w:p>
  </w:footnote>
  <w:footnote w:id="35">
    <w:p>
      <w:pPr>
        <w:pStyle w:val="FootnoteText"/>
        <w:tabs>
          <w:tab w:val="left" w:pos="720" w:leader="none"/>
        </w:tabs>
        <w:spacing w:before="0" w:after="60"/>
        <w:rPr/>
      </w:pPr>
      <w:r>
        <w:rPr>
          <w:rStyle w:val="FootnoteCharacters"/>
        </w:rPr>
        <w:footnoteRef/>
      </w:r>
      <w:r>
        <w:rPr>
          <w:rFonts w:cs="Times New Roman" w:ascii="Times New Roman" w:hAnsi="Times New Roman"/>
        </w:rPr>
        <w:t xml:space="preserve"> </w:t>
      </w:r>
      <w:r>
        <w:rPr>
          <w:rFonts w:cs="Times New Roman" w:ascii="Times New Roman" w:hAnsi="Times New Roman"/>
        </w:rPr>
        <w:tab/>
        <w:t>Although the trade option exemption is currently set forth in the Commission’s regulations, it originated as a statutory exemption. See, H.R. Rep. No. 624, 99th Cong., 2d Sess. 17-18 (1986).</w:t>
      </w:r>
    </w:p>
  </w:footnote>
  <w:footnote w:id="36">
    <w:p>
      <w:pPr>
        <w:pStyle w:val="FootnoteText"/>
        <w:tabs>
          <w:tab w:val="left" w:pos="720" w:leader="none"/>
        </w:tabs>
        <w:spacing w:before="0" w:after="60"/>
        <w:rPr/>
      </w:pPr>
      <w:r>
        <w:rPr>
          <w:rStyle w:val="FootnoteCharacters"/>
        </w:rPr>
        <w:footnoteRef/>
      </w:r>
      <w:r>
        <w:rPr>
          <w:rFonts w:cs="Times New Roman" w:ascii="Times New Roman" w:hAnsi="Times New Roman"/>
        </w:rPr>
        <w:t xml:space="preserve"> </w:t>
      </w:r>
      <w:r>
        <w:rPr>
          <w:rFonts w:cs="Times New Roman" w:ascii="Times New Roman" w:hAnsi="Times New Roman"/>
        </w:rPr>
        <w:tab/>
        <w:t xml:space="preserve">Committee on Commodities Regulation of the Association of the Bar of the City of New York, The Forward Contract Exclusion: An Analysis of Off-Exchange Commodity-Based Instruments, 41 Bus. Law 853, 863 (1984). </w:t>
      </w:r>
    </w:p>
  </w:footnote>
  <w:footnote w:id="37">
    <w:p>
      <w:pPr>
        <w:pStyle w:val="FootnoteText"/>
        <w:tabs>
          <w:tab w:val="left" w:pos="720" w:leader="none"/>
        </w:tabs>
        <w:spacing w:before="0" w:after="60"/>
        <w:rPr/>
      </w:pPr>
      <w:r>
        <w:rPr>
          <w:rStyle w:val="FootnoteCharacters"/>
        </w:rPr>
        <w:footnoteRef/>
      </w:r>
      <w:r>
        <w:rPr>
          <w:rFonts w:cs="Times New Roman" w:ascii="Times New Roman" w:hAnsi="Times New Roman"/>
        </w:rPr>
        <w:t xml:space="preserve"> </w:t>
      </w:r>
      <w:r>
        <w:rPr>
          <w:rFonts w:cs="Times New Roman" w:ascii="Times New Roman" w:hAnsi="Times New Roman"/>
        </w:rPr>
        <w:tab/>
        <w:t>See, Statutory Interpretation Regarding Trading in Foreign Currencies for Future Delivery, 50 Fed. Reg. 42,983 (CFTC 1985).</w:t>
      </w:r>
    </w:p>
  </w:footnote>
  <w:footnote w:id="38">
    <w:p>
      <w:pPr>
        <w:pStyle w:val="FootnoteText"/>
        <w:tabs>
          <w:tab w:val="left" w:pos="720" w:leader="none"/>
        </w:tabs>
        <w:spacing w:before="0" w:after="60"/>
        <w:rPr/>
      </w:pPr>
      <w:r>
        <w:rPr>
          <w:rStyle w:val="FootnoteCharacters"/>
        </w:rPr>
        <w:footnoteRef/>
      </w:r>
      <w:r>
        <w:rPr>
          <w:rFonts w:cs="Times New Roman" w:ascii="Times New Roman" w:hAnsi="Times New Roman"/>
        </w:rPr>
        <w:t xml:space="preserve"> </w:t>
      </w:r>
      <w:r>
        <w:rPr>
          <w:rFonts w:cs="Times New Roman" w:ascii="Times New Roman" w:hAnsi="Times New Roman"/>
        </w:rPr>
        <w:tab/>
        <w:t>See e.g., Policy Statement Concerning Swap Transactions, 54 Fed. Reg. 30,694 (CFTC 1989) (“Policy Statement”).</w:t>
      </w:r>
    </w:p>
  </w:footnote>
  <w:footnote w:id="39">
    <w:p>
      <w:pPr>
        <w:pStyle w:val="FootnoteText"/>
        <w:tabs>
          <w:tab w:val="left" w:pos="720" w:leader="none"/>
        </w:tabs>
        <w:spacing w:before="0" w:after="60"/>
        <w:rPr/>
      </w:pPr>
      <w:r>
        <w:rPr>
          <w:rStyle w:val="FootnoteCharacters"/>
        </w:rPr>
        <w:footnoteRef/>
      </w:r>
      <w:r>
        <w:rPr>
          <w:rFonts w:cs="Times New Roman" w:ascii="Times New Roman" w:hAnsi="Times New Roman"/>
        </w:rPr>
        <w:t xml:space="preserve"> </w:t>
      </w:r>
      <w:r>
        <w:rPr>
          <w:rFonts w:cs="Times New Roman" w:ascii="Times New Roman" w:hAnsi="Times New Roman"/>
        </w:rPr>
        <w:tab/>
        <w:t>H.R. Conf. Rep. No. 978, 79.</w:t>
      </w:r>
    </w:p>
  </w:footnote>
  <w:footnote w:id="40">
    <w:p>
      <w:pPr>
        <w:pStyle w:val="FootnoteText"/>
        <w:tabs>
          <w:tab w:val="left" w:pos="720" w:leader="none"/>
        </w:tabs>
        <w:spacing w:before="0" w:after="60"/>
        <w:rPr/>
      </w:pPr>
      <w:r>
        <w:rPr>
          <w:rStyle w:val="FootnoteCharacters"/>
        </w:rPr>
        <w:footnoteRef/>
      </w:r>
      <w:r>
        <w:rPr>
          <w:rFonts w:cs="Times New Roman" w:ascii="Times New Roman" w:hAnsi="Times New Roman"/>
        </w:rPr>
        <w:t xml:space="preserve"> </w:t>
      </w:r>
      <w:r>
        <w:rPr>
          <w:rFonts w:cs="Times New Roman" w:ascii="Times New Roman" w:hAnsi="Times New Roman"/>
        </w:rPr>
        <w:tab/>
        <w:t>58 Fed. Reg. 21,286 (1993); [1992 to 1994 Transfer Binder] Com. Fut. L. Rep. (CCH) para. 25,633, p. 40,031.</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4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6930" w:type="dxa"/>
      <w:jc w:val="start"/>
      <w:tblInd w:w="2628" w:type="dxa"/>
      <w:tblLayout w:type="fixed"/>
      <w:tblCellMar>
        <w:top w:w="0" w:type="dxa"/>
        <w:start w:w="108" w:type="dxa"/>
        <w:bottom w:w="0" w:type="dxa"/>
        <w:end w:w="108" w:type="dxa"/>
      </w:tblCellMar>
    </w:tblPr>
    <w:tblGrid>
      <w:gridCol w:w="360"/>
      <w:gridCol w:w="1440"/>
      <w:gridCol w:w="1890"/>
      <w:gridCol w:w="1620"/>
      <w:gridCol w:w="1620"/>
    </w:tblGrid>
    <w:tr>
      <w:trPr/>
      <w:tc>
        <w:tcPr>
          <w:tcW w:w="360" w:type="dxa"/>
          <w:tcBorders/>
        </w:tcPr>
        <w:p>
          <w:pPr>
            <w:pStyle w:val="Header"/>
            <w:tabs>
              <w:tab w:val="clear" w:pos="8640"/>
              <w:tab w:val="center" w:pos="4320" w:leader="none"/>
              <w:tab w:val="left" w:pos="6840" w:leader="none"/>
              <w:tab w:val="right" w:pos="9270" w:leader="none"/>
            </w:tabs>
            <w:snapToGrid w:val="false"/>
            <w:spacing w:before="0" w:after="120"/>
            <w:jc w:val="end"/>
            <w:rPr>
              <w:rFonts w:ascii="Antique Olive" w:hAnsi="Antique Olive" w:cs="Antique Olive"/>
              <w:sz w:val="12"/>
              <w:lang w:val="en-CA"/>
            </w:rPr>
          </w:pPr>
          <w:r>
            <w:rPr>
              <w:rFonts w:cs="Antique Olive" w:ascii="Antique Olive" w:hAnsi="Antique Olive"/>
              <w:sz w:val="12"/>
              <w:lang w:val="en-CA"/>
            </w:rPr>
            <w:object w:dxaOrig="5700" w:dyaOrig="1420">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position:absolute;margin-left:-3.6pt;margin-top:-166.65pt;width:143.95pt;height:37.05pt;mso-wrap-distance-left:9.05pt;mso-wrap-distance-right:9.05pt;mso-position-horizontal-relative:margin;mso-position-vertical-relative:margin" filled="f" o:ole="">
                <v:imagedata r:id="rId2" o:title=""/>
                <w10:wrap type="topAndBottom"/>
              </v:shape>
              <o:OLEObject Type="Embed" ProgID="" ShapeID="ole_rId1" DrawAspect="Content" ObjectID="_614980926" r:id="rId1"/>
            </w:object>
          </w:r>
        </w:p>
      </w:tc>
      <w:tc>
        <w:tcPr>
          <w:tcW w:w="1440" w:type="dxa"/>
          <w:tcBorders/>
        </w:tcPr>
        <w:p>
          <w:pPr>
            <w:pStyle w:val="Header"/>
            <w:tabs>
              <w:tab w:val="clear" w:pos="8640"/>
              <w:tab w:val="center" w:pos="4320" w:leader="none"/>
              <w:tab w:val="left" w:pos="6840" w:leader="none"/>
              <w:tab w:val="right" w:pos="9270" w:leader="none"/>
            </w:tabs>
            <w:snapToGrid w:val="false"/>
            <w:spacing w:before="0" w:after="120"/>
            <w:rPr>
              <w:rFonts w:ascii="Antique Olive" w:hAnsi="Antique Olive" w:cs="Antique Olive"/>
              <w:sz w:val="12"/>
              <w:lang w:val="en-CA"/>
            </w:rPr>
          </w:pPr>
          <w:r>
            <w:rPr>
              <w:rFonts w:cs="Antique Olive" w:ascii="Antique Olive" w:hAnsi="Antique Olive"/>
              <w:sz w:val="12"/>
              <w:lang w:val="en-CA"/>
            </w:rPr>
          </w:r>
        </w:p>
      </w:tc>
      <w:tc>
        <w:tcPr>
          <w:tcW w:w="1890" w:type="dxa"/>
          <w:tcBorders/>
        </w:tcPr>
        <w:p>
          <w:pPr>
            <w:pStyle w:val="Header"/>
            <w:tabs>
              <w:tab w:val="clear" w:pos="8640"/>
              <w:tab w:val="center" w:pos="4320" w:leader="none"/>
              <w:tab w:val="left" w:pos="6840" w:leader="none"/>
              <w:tab w:val="right" w:pos="9270" w:leader="none"/>
            </w:tabs>
            <w:spacing w:before="0" w:after="120"/>
            <w:rPr>
              <w:rFonts w:ascii="Antique Olive" w:hAnsi="Antique Olive" w:cs="Antique Olive"/>
              <w:sz w:val="12"/>
            </w:rPr>
          </w:pPr>
          <w:r>
            <w:rPr>
              <w:rFonts w:cs="Antique Olive" w:ascii="Antique Olive" w:hAnsi="Antique Olive"/>
              <w:sz w:val="12"/>
            </w:rPr>
            <w:t>Cameron McKenna LLP</w:t>
            <w:br/>
            <w:t xml:space="preserve">Two Transamerica Center 505 Sansome Street </w:t>
            <w:br/>
            <w:t>Fifth Floor</w:t>
            <w:br/>
            <w:t>San Francisco, CA 94111</w:t>
          </w:r>
        </w:p>
      </w:tc>
      <w:tc>
        <w:tcPr>
          <w:tcW w:w="1620" w:type="dxa"/>
          <w:tcBorders/>
        </w:tcPr>
        <w:p>
          <w:pPr>
            <w:pStyle w:val="Header"/>
            <w:tabs>
              <w:tab w:val="clear" w:pos="8640"/>
              <w:tab w:val="center" w:pos="4320" w:leader="none"/>
              <w:tab w:val="left" w:pos="6840" w:leader="none"/>
              <w:tab w:val="right" w:pos="9270" w:leader="none"/>
            </w:tabs>
            <w:spacing w:before="0" w:after="120"/>
            <w:rPr>
              <w:rFonts w:ascii="Antique Olive" w:hAnsi="Antique Olive" w:cs="Antique Olive"/>
              <w:sz w:val="12"/>
            </w:rPr>
          </w:pPr>
          <w:r>
            <w:rPr>
              <w:rFonts w:cs="Antique Olive" w:ascii="Antique Olive" w:hAnsi="Antique Olive"/>
              <w:sz w:val="12"/>
            </w:rPr>
            <w:t>T(415) 954-8484</w:t>
            <w:br/>
            <w:t>F(415) 954-4864</w:t>
          </w:r>
        </w:p>
      </w:tc>
      <w:tc>
        <w:tcPr>
          <w:tcW w:w="1620" w:type="dxa"/>
          <w:tcBorders/>
        </w:tcPr>
        <w:p>
          <w:pPr>
            <w:pStyle w:val="Header"/>
            <w:tabs>
              <w:tab w:val="clear" w:pos="8640"/>
              <w:tab w:val="center" w:pos="4320" w:leader="none"/>
              <w:tab w:val="left" w:pos="6840" w:leader="none"/>
              <w:tab w:val="right" w:pos="9270" w:leader="none"/>
            </w:tabs>
            <w:spacing w:before="0" w:after="120"/>
            <w:ind w:end="-198"/>
            <w:rPr>
              <w:rFonts w:ascii="Antique Olive" w:hAnsi="Antique Olive" w:cs="Antique Olive"/>
              <w:sz w:val="12"/>
            </w:rPr>
          </w:pPr>
          <w:r>
            <w:rPr>
              <w:rFonts w:cs="Antique Olive" w:ascii="Antique Olive" w:hAnsi="Antique Olive"/>
              <w:sz w:val="12"/>
            </w:rPr>
            <w:t xml:space="preserve">San Francisco </w:t>
            <w:br/>
            <w:t>Washington D.C.</w:t>
          </w:r>
        </w:p>
      </w:tc>
    </w:tr>
    <w:tr>
      <w:trPr>
        <w:trHeight w:val="1998" w:hRule="atLeast"/>
      </w:trPr>
      <w:tc>
        <w:tcPr>
          <w:tcW w:w="360" w:type="dxa"/>
          <w:tcBorders/>
        </w:tcPr>
        <w:p>
          <w:pPr>
            <w:pStyle w:val="Header"/>
            <w:tabs>
              <w:tab w:val="clear" w:pos="8640"/>
              <w:tab w:val="center" w:pos="4320" w:leader="none"/>
              <w:tab w:val="left" w:pos="6840" w:leader="none"/>
              <w:tab w:val="right" w:pos="9270" w:leader="none"/>
            </w:tabs>
            <w:snapToGrid w:val="false"/>
            <w:spacing w:before="0" w:after="120"/>
            <w:rPr>
              <w:rFonts w:ascii="Antique Olive" w:hAnsi="Antique Olive" w:cs="Antique Olive"/>
              <w:sz w:val="12"/>
            </w:rPr>
          </w:pPr>
          <w:r>
            <w:rPr>
              <w:rFonts w:cs="Antique Olive" w:ascii="Antique Olive" w:hAnsi="Antique Olive"/>
              <w:sz w:val="12"/>
            </w:rPr>
          </w:r>
        </w:p>
      </w:tc>
      <w:tc>
        <w:tcPr>
          <w:tcW w:w="1440" w:type="dxa"/>
          <w:tcBorders/>
        </w:tcPr>
        <w:p>
          <w:pPr>
            <w:pStyle w:val="Header"/>
            <w:tabs>
              <w:tab w:val="clear" w:pos="8640"/>
              <w:tab w:val="center" w:pos="4320" w:leader="none"/>
              <w:tab w:val="left" w:pos="6840" w:leader="none"/>
              <w:tab w:val="right" w:pos="9270" w:leader="none"/>
            </w:tabs>
            <w:snapToGrid w:val="false"/>
            <w:spacing w:before="0" w:after="120"/>
            <w:rPr>
              <w:rFonts w:ascii="Antique Olive" w:hAnsi="Antique Olive" w:cs="Antique Olive"/>
              <w:sz w:val="12"/>
            </w:rPr>
          </w:pPr>
          <w:r>
            <w:rPr>
              <w:rFonts w:cs="Antique Olive" w:ascii="Antique Olive" w:hAnsi="Antique Olive"/>
              <w:sz w:val="12"/>
            </w:rPr>
          </w:r>
        </w:p>
      </w:tc>
      <w:tc>
        <w:tcPr>
          <w:tcW w:w="1890" w:type="dxa"/>
          <w:tcBorders/>
        </w:tcPr>
        <w:p>
          <w:pPr>
            <w:pStyle w:val="Header"/>
            <w:tabs>
              <w:tab w:val="clear" w:pos="8640"/>
              <w:tab w:val="center" w:pos="4320" w:leader="none"/>
              <w:tab w:val="left" w:pos="6840" w:leader="none"/>
              <w:tab w:val="right" w:pos="9270" w:leader="none"/>
            </w:tabs>
            <w:snapToGrid w:val="false"/>
            <w:spacing w:before="0" w:after="120"/>
            <w:rPr>
              <w:rFonts w:ascii="Antique Olive" w:hAnsi="Antique Olive" w:cs="Antique Olive"/>
              <w:sz w:val="12"/>
            </w:rPr>
          </w:pPr>
          <w:r>
            <w:rPr>
              <w:rFonts w:cs="Antique Olive" w:ascii="Antique Olive" w:hAnsi="Antique Olive"/>
              <w:sz w:val="12"/>
            </w:rPr>
          </w:r>
        </w:p>
      </w:tc>
      <w:tc>
        <w:tcPr>
          <w:tcW w:w="1620" w:type="dxa"/>
          <w:tcBorders/>
        </w:tcPr>
        <w:p>
          <w:pPr>
            <w:pStyle w:val="Header"/>
            <w:tabs>
              <w:tab w:val="clear" w:pos="8640"/>
              <w:tab w:val="center" w:pos="4320" w:leader="none"/>
              <w:tab w:val="left" w:pos="6840" w:leader="none"/>
              <w:tab w:val="right" w:pos="9270" w:leader="none"/>
            </w:tabs>
            <w:snapToGrid w:val="false"/>
            <w:spacing w:before="0" w:after="120"/>
            <w:rPr>
              <w:rFonts w:ascii="Antique Olive" w:hAnsi="Antique Olive" w:cs="Antique Olive"/>
              <w:sz w:val="12"/>
            </w:rPr>
          </w:pPr>
          <w:r>
            <w:rPr>
              <w:rFonts w:cs="Antique Olive" w:ascii="Antique Olive" w:hAnsi="Antique Olive"/>
              <w:sz w:val="12"/>
            </w:rPr>
          </w:r>
        </w:p>
      </w:tc>
      <w:tc>
        <w:tcPr>
          <w:tcW w:w="1620" w:type="dxa"/>
          <w:tcBorders/>
        </w:tcPr>
        <w:p>
          <w:pPr>
            <w:pStyle w:val="Header"/>
            <w:tabs>
              <w:tab w:val="clear" w:pos="8640"/>
              <w:tab w:val="center" w:pos="4320" w:leader="none"/>
              <w:tab w:val="left" w:pos="6840" w:leader="none"/>
              <w:tab w:val="right" w:pos="9270" w:leader="none"/>
            </w:tabs>
            <w:spacing w:before="0" w:after="120"/>
            <w:rPr>
              <w:rFonts w:ascii="Antique Olive" w:hAnsi="Antique Olive" w:cs="Antique Olive"/>
              <w:sz w:val="12"/>
            </w:rPr>
          </w:pPr>
          <w:r>
            <w:rPr>
              <w:rFonts w:cs="Antique Olive" w:ascii="Antique Olive" w:hAnsi="Antique Olive"/>
              <w:sz w:val="12"/>
            </w:rPr>
            <w:t>Assocated with:</w:t>
            <w:br/>
            <w:t>Cameron McKenna:</w:t>
            <w:br/>
            <w:t>London</w:t>
            <w:br/>
            <w:t>Aberdeen</w:t>
            <w:br/>
            <w:t>Bristol</w:t>
            <w:br/>
            <w:t>Brussels</w:t>
            <w:br/>
            <w:t>Budapest</w:t>
            <w:br/>
            <w:t>Prague</w:t>
            <w:br/>
            <w:t>Warsaw</w:t>
            <w:br/>
            <w:t>Moscow</w:t>
            <w:br/>
            <w:t>Almaty</w:t>
            <w:br/>
            <w:t>Tashkent</w:t>
            <w:br/>
            <w:t>Hong Kong</w:t>
          </w:r>
        </w:p>
      </w:tc>
    </w:tr>
  </w:tbl>
  <w:p>
    <w:pPr>
      <w:pStyle w:val="Header"/>
      <w:tabs>
        <w:tab w:val="clear" w:pos="8640"/>
        <w:tab w:val="center" w:pos="4320" w:leader="none"/>
        <w:tab w:val="left" w:pos="6840" w:leader="none"/>
        <w:tab w:val="right" w:pos="9270" w:leader="none"/>
      </w:tabs>
      <w:spacing w:before="0" w:after="120"/>
      <w:ind w:start="4766" w:end="0"/>
      <w:rPr>
        <w:rFonts w:ascii="Antique Olive" w:hAnsi="Antique Olive" w:cs="Antique Olive"/>
        <w:sz w:val="12"/>
      </w:rPr>
    </w:pPr>
    <w:r>
      <w:rPr>
        <w:rFonts w:cs="Antique Olive" w:ascii="Antique Olive" w:hAnsi="Antique Olive"/>
        <w:sz w:val="12"/>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720"/>
      </w:pPr>
      <w:rPr>
        <w:sz w:val="24"/>
        <w:i w:val="false"/>
        <w:u w:val="none"/>
        <w:b/>
        <w:rFonts w:ascii="Times New Roman" w:hAnsi="Times New Roman" w:cs="Times New Roman"/>
      </w:rPr>
    </w:lvl>
  </w:abstractNum>
  <w:num w:numId="1">
    <w:abstractNumId w:val="1"/>
  </w:num>
  <w:num w:numId="2">
    <w:abstractNumId w:val="2"/>
  </w:num>
</w:numbering>
</file>

<file path=word/settings.xml><?xml version="1.0" encoding="utf-8"?>
<w:settings xmlns:w="http://schemas.openxmlformats.org/wordprocessingml/2006/main">
  <w:zoom w:percent="75"/>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0" w:after="24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widowControl w:val="false"/>
      <w:numPr>
        <w:ilvl w:val="0"/>
        <w:numId w:val="1"/>
      </w:numPr>
      <w:jc w:val="end"/>
      <w:outlineLvl w:val="0"/>
    </w:pPr>
    <w:rPr>
      <w:rFonts w:ascii="Univers" w:hAnsi="Univers" w:cs="Univers"/>
      <w:b/>
      <w:sz w:val="24"/>
    </w:rPr>
  </w:style>
  <w:style w:type="paragraph" w:styleId="Heading2">
    <w:name w:val="heading 2"/>
    <w:basedOn w:val="Normal"/>
    <w:next w:val="Normal"/>
    <w:qFormat/>
    <w:pPr>
      <w:keepNext w:val="true"/>
      <w:widowControl w:val="false"/>
      <w:numPr>
        <w:ilvl w:val="1"/>
        <w:numId w:val="1"/>
      </w:numPr>
      <w:outlineLvl w:val="1"/>
    </w:pPr>
    <w:rPr>
      <w:rFonts w:ascii="Univers" w:hAnsi="Univers" w:cs="Univers"/>
      <w:b/>
      <w:sz w:val="24"/>
    </w:rPr>
  </w:style>
  <w:style w:type="paragraph" w:styleId="Heading3">
    <w:name w:val="heading 3"/>
    <w:basedOn w:val="Normal"/>
    <w:next w:val="Normal"/>
    <w:qFormat/>
    <w:pPr>
      <w:keepNext w:val="true"/>
      <w:widowControl w:val="false"/>
      <w:numPr>
        <w:ilvl w:val="2"/>
        <w:numId w:val="1"/>
      </w:numPr>
      <w:outlineLvl w:val="2"/>
    </w:pPr>
    <w:rPr>
      <w:rFonts w:ascii="Univers" w:hAnsi="Univers" w:cs="Univers"/>
      <w:b/>
      <w:sz w:val="32"/>
    </w:rPr>
  </w:style>
  <w:style w:type="character" w:styleId="WW8Num3z0">
    <w:name w:val="WW8Num3z0"/>
    <w:qFormat/>
    <w:rPr>
      <w:rFonts w:ascii="Symbol" w:hAnsi="Symbol" w:cs="Symbol"/>
    </w:rPr>
  </w:style>
  <w:style w:type="character" w:styleId="WW8Num6z0">
    <w:name w:val="WW8Num6z0"/>
    <w:qFormat/>
    <w:rPr>
      <w:u w:val="none"/>
    </w:rPr>
  </w:style>
  <w:style w:type="character" w:styleId="WW8Num7z0">
    <w:name w:val="WW8Num7z0"/>
    <w:qFormat/>
    <w:rPr>
      <w:rFonts w:ascii="Univers (W1);Arial" w:hAnsi="Univers (W1);Arial" w:cs="Univers (W1);Arial"/>
      <w:b/>
      <w:i w:val="false"/>
      <w:sz w:val="24"/>
    </w:rPr>
  </w:style>
  <w:style w:type="character" w:styleId="WW8Num7z1">
    <w:name w:val="WW8Num7z1"/>
    <w:qFormat/>
    <w:rPr>
      <w:rFonts w:ascii="Univers" w:hAnsi="Univers" w:cs="Univers"/>
      <w:b/>
      <w:i w:val="false"/>
      <w:sz w:val="24"/>
    </w:rPr>
  </w:style>
  <w:style w:type="character" w:styleId="WW8Num7z8">
    <w:name w:val="WW8Num7z8"/>
    <w:qFormat/>
    <w:rPr>
      <w:rFonts w:ascii="Univers" w:hAnsi="Univers" w:cs="Univers"/>
      <w:b w:val="false"/>
      <w:i w:val="false"/>
      <w:sz w:val="24"/>
    </w:rPr>
  </w:style>
  <w:style w:type="character" w:styleId="WW8Num9z0">
    <w:name w:val="WW8Num9z0"/>
    <w:qFormat/>
    <w:rPr>
      <w:rFonts w:ascii="Times New Roman" w:hAnsi="Times New Roman" w:cs="Times New Roman"/>
      <w:b/>
      <w:i w:val="false"/>
      <w:sz w:val="24"/>
    </w:rPr>
  </w:style>
  <w:style w:type="character" w:styleId="WW8Num10z0">
    <w:name w:val="WW8Num10z0"/>
    <w:qFormat/>
    <w:rPr/>
  </w:style>
  <w:style w:type="character" w:styleId="WW8Num11z0">
    <w:name w:val="WW8Num11z0"/>
    <w:qFormat/>
    <w:rPr>
      <w:rFonts w:ascii="Times New Roman" w:hAnsi="Times New Roman" w:cs="Times New Roman"/>
      <w:b/>
      <w:i w:val="false"/>
      <w:sz w:val="24"/>
      <w:u w:val="none"/>
    </w:rPr>
  </w:style>
  <w:style w:type="character" w:styleId="WW8Num12z0">
    <w:name w:val="WW8Num12z0"/>
    <w:qFormat/>
    <w:rPr>
      <w:rFonts w:ascii="Symbol" w:hAnsi="Symbol" w:cs="Symbol"/>
    </w:rPr>
  </w:style>
  <w:style w:type="character" w:styleId="WW8NumSt4z0">
    <w:name w:val="WW8NumSt4z0"/>
    <w:qFormat/>
    <w:rPr>
      <w:rFonts w:ascii="Symbol" w:hAnsi="Symbol" w:cs="Symbol"/>
    </w:rPr>
  </w:style>
  <w:style w:type="character" w:styleId="DefaultParagraphFont">
    <w:name w:val="Default Paragraph Font"/>
    <w:qFormat/>
    <w:rPr/>
  </w:style>
  <w:style w:type="character" w:styleId="MessageHeaderLabel">
    <w:name w:val="Message Header Label"/>
    <w:qFormat/>
    <w:rPr>
      <w:rFonts w:ascii="Univers" w:hAnsi="Univers" w:cs="Univers"/>
      <w:b/>
      <w:caps/>
      <w:sz w:val="24"/>
    </w:rPr>
  </w:style>
  <w:style w:type="character" w:styleId="PageNumber">
    <w:name w:val="page number"/>
    <w:basedOn w:val="DefaultParagraphFont"/>
    <w:rPr/>
  </w:style>
  <w:style w:type="character" w:styleId="FootnoteCharacters">
    <w:name w:val="Footnote Characters"/>
    <w:basedOn w:val="DefaultParagraphFont"/>
    <w:qFormat/>
    <w:rPr>
      <w:rFonts w:ascii="Garamond MT;Garamond" w:hAnsi="Garamond MT;Garamond" w:cs="Garamond MT;Garamond"/>
      <w:sz w:val="20"/>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MessageHeader">
    <w:name w:val="Message Header"/>
    <w:basedOn w:val="BodyText"/>
    <w:qFormat/>
    <w:pPr>
      <w:keepLines/>
      <w:widowControl w:val="false"/>
      <w:tabs>
        <w:tab w:val="clear" w:pos="720"/>
        <w:tab w:val="left" w:pos="3600" w:leader="none"/>
        <w:tab w:val="left" w:pos="4680" w:leader="none"/>
      </w:tabs>
      <w:spacing w:before="0" w:after="240"/>
      <w:ind w:hanging="1080" w:start="1080" w:end="2880"/>
    </w:pPr>
    <w:rPr/>
  </w:style>
  <w:style w:type="paragraph" w:styleId="MessageHeaderFirst">
    <w:name w:val="Message Header First"/>
    <w:basedOn w:val="MessageHeader"/>
    <w:next w:val="MessageHeader"/>
    <w:qFormat/>
    <w:pPr>
      <w:spacing w:before="120" w:after="24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rFonts w:ascii="Univers" w:hAnsi="Univers" w:cs="Univers"/>
    </w:rPr>
  </w:style>
  <w:style w:type="paragraph" w:styleId="Footer">
    <w:name w:val="footer"/>
    <w:basedOn w:val="Normal"/>
    <w:pPr>
      <w:tabs>
        <w:tab w:val="clear" w:pos="720"/>
        <w:tab w:val="center" w:pos="4320" w:leader="none"/>
        <w:tab w:val="right" w:pos="8640" w:leader="none"/>
      </w:tabs>
      <w:spacing w:before="120" w:after="0"/>
    </w:pPr>
    <w:rPr>
      <w:sz w:val="18"/>
    </w:rPr>
  </w:style>
  <w:style w:type="paragraph" w:styleId="FootnoteText">
    <w:name w:val="footnote text"/>
    <w:basedOn w:val="Normal"/>
    <w:pPr>
      <w:spacing w:before="0" w:after="60"/>
      <w:ind w:hanging="360" w:start="360" w:end="0"/>
    </w:pPr>
    <w:rPr>
      <w:rFonts w:ascii="Univers" w:hAnsi="Univers" w:cs="Univers"/>
      <w:sz w:val="20"/>
    </w:rPr>
  </w:style>
  <w:style w:type="paragraph" w:styleId="BodyTextIndent">
    <w:name w:val="Body Text Indent"/>
    <w:basedOn w:val="Normal"/>
    <w:pPr>
      <w:spacing w:lineRule="auto" w:line="360"/>
      <w:ind w:firstLine="720" w:start="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bmp"/>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cmckgraphicletterhead</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1999-05-20T18:06:00Z</dcterms:created>
  <dc:creator>ChrisP</dc:creator>
  <dc:description/>
  <dc:language>en-CA</dc:language>
  <cp:lastModifiedBy>Type your name here</cp:lastModifiedBy>
  <cp:lastPrinted>1999-05-20T10:39:00Z</cp:lastPrinted>
  <dcterms:modified xsi:type="dcterms:W3CDTF">1999-05-20T18:06:00Z</dcterms:modified>
  <cp:revision>2</cp:revision>
  <dc:subject/>
  <dc:title> </dc:title>
</cp:coreProperties>
</file>