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w w:val="79"/>
          <w:lang w:val="en-CA"/>
        </w:rPr>
      </w:pPr>
      <w:r>
        <w:rPr>
          <w:w w:val="79"/>
          <w:lang w:val="en-CA"/>
        </w:rPr>
      </w:r>
      <w:bookmarkStart w:id="0" w:name="MEMO"/>
      <w:bookmarkStart w:id="1" w:name="MEMO"/>
      <w:bookmarkEnd w:id="1"/>
      <w:r>
        <mc:AlternateContent>
          <mc:Choice Requires="wps">
            <w:drawing>
              <wp:anchor behindDoc="0" distT="0" distB="0" distL="114935" distR="114935" simplePos="0" locked="0" layoutInCell="1" allowOverlap="1" relativeHeight="5">
                <wp:simplePos x="0" y="0"/>
                <wp:positionH relativeFrom="column">
                  <wp:posOffset>2240280</wp:posOffset>
                </wp:positionH>
                <wp:positionV relativeFrom="page">
                  <wp:posOffset>1554480</wp:posOffset>
                </wp:positionV>
                <wp:extent cx="1554480" cy="255270"/>
                <wp:effectExtent l="0" t="0" r="0" b="0"/>
                <wp:wrapNone/>
                <wp:docPr id="1" name="Frame1"/>
                <a:graphic xmlns:a="http://schemas.openxmlformats.org/drawingml/2006/main">
                  <a:graphicData uri="http://schemas.microsoft.com/office/word/2010/wordprocessingShape">
                    <wps:wsp>
                      <wps:cNvSpPr txBox="1"/>
                      <wps:spPr>
                        <a:xfrm>
                          <a:off x="0" y="0"/>
                          <a:ext cx="1554480" cy="255270"/>
                        </a:xfrm>
                        <a:prstGeom prst="rect"/>
                        <a:solidFill>
                          <a:srgbClr val="FFFFFF"/>
                        </a:solidFill>
                      </wps:spPr>
                      <wps:txbx>
                        <w:txbxContent>
                          <w:p>
                            <w:pPr>
                              <w:pStyle w:val="Normal"/>
                              <w:rPr>
                                <w:b/>
                                <w:spacing w:val="40"/>
                              </w:rPr>
                            </w:pPr>
                            <w:r>
                              <w:rPr>
                                <w:b/>
                                <w:spacing w:val="40"/>
                              </w:rPr>
                              <w:t>MEMORANDUM</w:t>
                            </w:r>
                          </w:p>
                        </w:txbxContent>
                      </wps:txbx>
                      <wps:bodyPr anchor="t" lIns="635" tIns="635" rIns="635" bIns="635">
                        <a:noAutofit/>
                      </wps:bodyPr>
                    </wps:wsp>
                  </a:graphicData>
                </a:graphic>
              </wp:anchor>
            </w:drawing>
          </mc:Choice>
          <mc:Fallback>
            <w:pict>
              <v:rect fillcolor="#FFFFFF" style="position:absolute;rotation:-0;width:122.4pt;height:20.1pt;mso-wrap-distance-left:9.05pt;mso-wrap-distance-right:9.05pt;mso-wrap-distance-top:0pt;mso-wrap-distance-bottom:0pt;margin-top:122.4pt;mso-position-vertical-relative:page;margin-left:176.4pt;mso-position-horizontal-relative:text">
                <v:textbox inset="0.000694444444444445in,0.000694444444444445in,0.000694444444444445in,0.000694444444444445in">
                  <w:txbxContent>
                    <w:p>
                      <w:pPr>
                        <w:pStyle w:val="Normal"/>
                        <w:rPr>
                          <w:b/>
                          <w:spacing w:val="40"/>
                        </w:rPr>
                      </w:pPr>
                      <w:r>
                        <w:rPr>
                          <w:b/>
                          <w:spacing w:val="40"/>
                        </w:rPr>
                        <w:t>MEMORANDUM</w:t>
                      </w:r>
                    </w:p>
                  </w:txbxContent>
                </v:textbox>
                <w10:wrap type="none"/>
              </v:rect>
            </w:pict>
          </mc:Fallback>
        </mc:AlternateContent>
      </w:r>
    </w:p>
    <w:p>
      <w:pPr>
        <w:pStyle w:val="Normal"/>
        <w:jc w:val="end"/>
        <w:rPr>
          <w:w w:val="79"/>
        </w:rPr>
      </w:pPr>
      <w:r>
        <w:rPr>
          <w:w w:val="79"/>
        </w:rPr>
      </w:r>
    </w:p>
    <w:p>
      <w:pPr>
        <w:pStyle w:val="Normal"/>
        <w:rPr>
          <w:w w:val="79"/>
        </w:rPr>
      </w:pPr>
      <w:r>
        <w:rPr>
          <w:w w:val="79"/>
        </w:rPr>
      </w:r>
    </w:p>
    <w:p>
      <w:pPr>
        <w:pStyle w:val="Normal"/>
        <w:rPr>
          <w:w w:val="68"/>
        </w:rPr>
      </w:pPr>
      <w:r>
        <w:rPr>
          <w:w w:val="68"/>
        </w:rPr>
      </w:r>
    </w:p>
    <w:p>
      <w:pPr>
        <w:pStyle w:val="Normal"/>
        <w:rPr>
          <w:w w:val="68"/>
          <w:lang w:val="en-CA"/>
        </w:rPr>
      </w:pPr>
      <w:r>
        <w:rPr>
          <w:w w:val="68"/>
          <w:lang w:val="en-CA"/>
        </w:rPr>
      </w:r>
      <w:r>
        <mc:AlternateContent>
          <mc:Choice Requires="wps">
            <w:drawing>
              <wp:anchor behindDoc="0" distT="0" distB="0" distL="114935" distR="114935" simplePos="0" locked="0" layoutInCell="1" allowOverlap="1" relativeHeight="4">
                <wp:simplePos x="0" y="0"/>
                <wp:positionH relativeFrom="column">
                  <wp:posOffset>-91440</wp:posOffset>
                </wp:positionH>
                <wp:positionV relativeFrom="paragraph">
                  <wp:posOffset>-356870</wp:posOffset>
                </wp:positionV>
                <wp:extent cx="3840480" cy="486410"/>
                <wp:effectExtent l="0" t="0" r="0" b="0"/>
                <wp:wrapNone/>
                <wp:docPr id="2" name="Frame2"/>
                <a:graphic xmlns:a="http://schemas.openxmlformats.org/drawingml/2006/main">
                  <a:graphicData uri="http://schemas.microsoft.com/office/word/2010/wordprocessingShape">
                    <wps:wsp>
                      <wps:cNvSpPr txBox="1"/>
                      <wps:spPr>
                        <a:xfrm>
                          <a:off x="0" y="0"/>
                          <a:ext cx="3840480" cy="486410"/>
                        </a:xfrm>
                        <a:prstGeom prst="rect"/>
                        <a:solidFill>
                          <a:srgbClr val="FFFFFF"/>
                        </a:solidFill>
                      </wps:spPr>
                      <wps:txbx>
                        <w:txbxContent>
                          <w:p>
                            <w:pPr>
                              <w:pStyle w:val="Normal"/>
                              <w:rPr>
                                <w:rFonts w:ascii="BCGLogo" w:hAnsi="BCGLogo" w:cs="BCGLogo"/>
                                <w:sz w:val="70"/>
                              </w:rPr>
                            </w:pPr>
                            <w:r>
                              <w:rPr>
                                <w:rFonts w:cs="BCGLogo" w:ascii="BCGLogo" w:hAnsi="BCGLogo"/>
                                <w:sz w:val="70"/>
                              </w:rPr>
                              <w:t>1234</w:t>
                            </w:r>
                          </w:p>
                        </w:txbxContent>
                      </wps:txbx>
                      <wps:bodyPr anchor="t" lIns="92075" tIns="46355" rIns="92075" bIns="46355">
                        <a:noAutofit/>
                      </wps:bodyPr>
                    </wps:wsp>
                  </a:graphicData>
                </a:graphic>
              </wp:anchor>
            </w:drawing>
          </mc:Choice>
          <mc:Fallback>
            <w:pict>
              <v:rect fillcolor="#FFFFFF" style="position:absolute;rotation:-0;width:302.4pt;height:38.3pt;mso-wrap-distance-left:9.05pt;mso-wrap-distance-right:9.05pt;mso-wrap-distance-top:0pt;mso-wrap-distance-bottom:0pt;margin-top:-28.1pt;mso-position-vertical-relative:text;margin-left:-7.2pt;mso-position-horizontal-relative:text">
                <v:textbox inset="0.100694444444444in,0.0506944444444444in,0.100694444444444in,0.0506944444444444in">
                  <w:txbxContent>
                    <w:p>
                      <w:pPr>
                        <w:pStyle w:val="Normal"/>
                        <w:rPr>
                          <w:rFonts w:ascii="BCGLogo" w:hAnsi="BCGLogo" w:cs="BCGLogo"/>
                          <w:sz w:val="70"/>
                        </w:rPr>
                      </w:pPr>
                      <w:r>
                        <w:rPr>
                          <w:rFonts w:cs="BCGLogo" w:ascii="BCGLogo" w:hAnsi="BCGLogo"/>
                          <w:sz w:val="70"/>
                        </w:rPr>
                        <w:t>1234</w:t>
                      </w:r>
                    </w:p>
                  </w:txbxContent>
                </v:textbox>
                <w10:wrap type="none"/>
              </v:rect>
            </w:pict>
          </mc:Fallback>
        </mc:AlternateContent>
      </w:r>
    </w:p>
    <w:p>
      <w:pPr>
        <w:pStyle w:val="Normal"/>
        <w:rPr>
          <w:b/>
          <w:spacing w:val="60"/>
          <w:w w:val="68"/>
        </w:rPr>
      </w:pPr>
      <w:r>
        <w:rPr>
          <w:b/>
          <w:spacing w:val="60"/>
          <w:w w:val="68"/>
        </w:rPr>
      </w:r>
    </w:p>
    <w:p>
      <w:pPr>
        <w:pStyle w:val="Normal"/>
        <w:rPr>
          <w:b/>
          <w:spacing w:val="60"/>
        </w:rPr>
      </w:pPr>
      <w:r>
        <w:rPr>
          <w:b/>
          <w:spacing w:val="60"/>
        </w:rPr>
      </w:r>
    </w:p>
    <w:p>
      <w:pPr>
        <w:pStyle w:val="Normal"/>
        <w:rPr/>
      </w:pPr>
      <w:r>
        <w:rPr/>
      </w:r>
    </w:p>
    <w:tbl>
      <w:tblPr>
        <w:tblW w:w="9360" w:type="dxa"/>
        <w:jc w:val="start"/>
        <w:tblInd w:w="0" w:type="dxa"/>
        <w:tblLayout w:type="fixed"/>
        <w:tblCellMar>
          <w:top w:w="0" w:type="dxa"/>
          <w:start w:w="108" w:type="dxa"/>
          <w:bottom w:w="0" w:type="dxa"/>
          <w:end w:w="108" w:type="dxa"/>
        </w:tblCellMar>
      </w:tblPr>
      <w:tblGrid>
        <w:gridCol w:w="1278"/>
        <w:gridCol w:w="4302"/>
        <w:gridCol w:w="540"/>
        <w:gridCol w:w="3240"/>
      </w:tblGrid>
      <w:tr>
        <w:trPr>
          <w:trHeight w:val="120" w:hRule="atLeast"/>
        </w:trPr>
        <w:tc>
          <w:tcPr>
            <w:tcW w:w="1278" w:type="dxa"/>
            <w:tcBorders/>
          </w:tcPr>
          <w:p>
            <w:pPr>
              <w:pStyle w:val="Normal"/>
              <w:rPr>
                <w:b/>
              </w:rPr>
            </w:pPr>
            <w:r>
              <w:rPr>
                <w:b/>
              </w:rPr>
              <w:t>TO:</w:t>
            </w:r>
          </w:p>
        </w:tc>
        <w:tc>
          <w:tcPr>
            <w:tcW w:w="4302" w:type="dxa"/>
            <w:tcBorders/>
          </w:tcPr>
          <w:p>
            <w:pPr>
              <w:pStyle w:val="Normal"/>
              <w:rPr/>
            </w:pPr>
            <w:bookmarkStart w:id="2" w:name="to"/>
            <w:bookmarkEnd w:id="2"/>
            <w:r>
              <w:rPr/>
              <w:t>Peter Keohane</w:t>
            </w:r>
          </w:p>
        </w:tc>
        <w:tc>
          <w:tcPr>
            <w:tcW w:w="540" w:type="dxa"/>
            <w:vMerge w:val="restart"/>
            <w:tcBorders/>
          </w:tcPr>
          <w:p>
            <w:pPr>
              <w:pStyle w:val="Normal"/>
              <w:rPr>
                <w:b/>
              </w:rPr>
            </w:pPr>
            <w:bookmarkStart w:id="3" w:name="cc"/>
            <w:bookmarkEnd w:id="3"/>
            <w:r>
              <w:rPr>
                <w:b/>
              </w:rPr>
              <w:t>c:</w:t>
            </w:r>
          </w:p>
        </w:tc>
        <w:tc>
          <w:tcPr>
            <w:tcW w:w="3240" w:type="dxa"/>
            <w:vMerge w:val="restart"/>
            <w:tcBorders/>
          </w:tcPr>
          <w:p>
            <w:pPr>
              <w:pStyle w:val="Normal"/>
              <w:rPr/>
            </w:pPr>
            <w:bookmarkStart w:id="4" w:name="cctext"/>
            <w:bookmarkEnd w:id="4"/>
            <w:r>
              <w:rPr/>
              <w:t>Brock W. Gibson</w:t>
            </w:r>
          </w:p>
          <w:p>
            <w:pPr>
              <w:pStyle w:val="Normal"/>
              <w:rPr/>
            </w:pPr>
            <w:r>
              <w:rPr/>
              <w:t>J. David A. Jackson</w:t>
            </w:r>
          </w:p>
          <w:p>
            <w:pPr>
              <w:pStyle w:val="Normal"/>
              <w:rPr/>
            </w:pPr>
            <w:r>
              <w:rPr/>
              <w:t>Ernest D. McNee</w:t>
            </w:r>
          </w:p>
        </w:tc>
      </w:tr>
      <w:tr>
        <w:trPr>
          <w:trHeight w:val="285" w:hRule="atLeast"/>
        </w:trPr>
        <w:tc>
          <w:tcPr>
            <w:tcW w:w="1278" w:type="dxa"/>
            <w:tcBorders/>
          </w:tcPr>
          <w:p>
            <w:pPr>
              <w:pStyle w:val="Normal"/>
              <w:snapToGrid w:val="false"/>
              <w:rPr>
                <w:b/>
              </w:rPr>
            </w:pPr>
            <w:r>
              <w:rPr>
                <w:b/>
              </w:rPr>
            </w:r>
          </w:p>
        </w:tc>
        <w:tc>
          <w:tcPr>
            <w:tcW w:w="4302" w:type="dxa"/>
            <w:tcBorders/>
          </w:tcPr>
          <w:p>
            <w:pPr>
              <w:pStyle w:val="Normal"/>
              <w:snapToGrid w:val="false"/>
              <w:rPr>
                <w:b/>
              </w:rPr>
            </w:pPr>
            <w:r>
              <w:rPr>
                <w:b/>
              </w:rPr>
            </w:r>
          </w:p>
        </w:tc>
        <w:tc>
          <w:tcPr>
            <w:tcW w:w="540" w:type="dxa"/>
            <w:vMerge w:val="continue"/>
            <w:tcBorders/>
          </w:tcPr>
          <w:p>
            <w:pPr>
              <w:pStyle w:val="Normal"/>
              <w:snapToGrid w:val="false"/>
              <w:rPr>
                <w:b/>
              </w:rPr>
            </w:pPr>
            <w:r>
              <w:rPr>
                <w:b/>
              </w:rPr>
            </w:r>
          </w:p>
        </w:tc>
        <w:tc>
          <w:tcPr>
            <w:tcW w:w="3240" w:type="dxa"/>
            <w:vMerge w:val="continue"/>
            <w:tcBorders/>
          </w:tcPr>
          <w:p>
            <w:pPr>
              <w:pStyle w:val="Normal"/>
              <w:snapToGrid w:val="false"/>
              <w:rPr>
                <w:b/>
              </w:rPr>
            </w:pPr>
            <w:r>
              <w:rPr>
                <w:b/>
              </w:rPr>
            </w:r>
          </w:p>
        </w:tc>
      </w:tr>
      <w:tr>
        <w:trPr>
          <w:trHeight w:val="540" w:hRule="atLeast"/>
        </w:trPr>
        <w:tc>
          <w:tcPr>
            <w:tcW w:w="1278" w:type="dxa"/>
            <w:tcBorders/>
          </w:tcPr>
          <w:p>
            <w:pPr>
              <w:pStyle w:val="Normal"/>
              <w:rPr>
                <w:b/>
              </w:rPr>
            </w:pPr>
            <w:r>
              <w:rPr>
                <w:b/>
              </w:rPr>
              <w:t>FROM:</w:t>
            </w:r>
          </w:p>
        </w:tc>
        <w:tc>
          <w:tcPr>
            <w:tcW w:w="4302" w:type="dxa"/>
            <w:tcBorders/>
          </w:tcPr>
          <w:p>
            <w:pPr>
              <w:pStyle w:val="Normal"/>
              <w:rPr/>
            </w:pPr>
            <w:bookmarkStart w:id="5" w:name="from"/>
            <w:bookmarkEnd w:id="5"/>
            <w:r>
              <w:rPr/>
              <w:t>James R. Christie</w:t>
            </w:r>
          </w:p>
        </w:tc>
        <w:tc>
          <w:tcPr>
            <w:tcW w:w="540" w:type="dxa"/>
            <w:tcBorders/>
          </w:tcPr>
          <w:p>
            <w:pPr>
              <w:pStyle w:val="Normal"/>
              <w:snapToGrid w:val="false"/>
              <w:rPr>
                <w:b/>
              </w:rPr>
            </w:pPr>
            <w:r>
              <w:rPr>
                <w:b/>
              </w:rPr>
            </w:r>
            <w:bookmarkStart w:id="6" w:name="bclabel"/>
            <w:bookmarkStart w:id="7" w:name="bclabel"/>
            <w:bookmarkEnd w:id="7"/>
          </w:p>
        </w:tc>
        <w:tc>
          <w:tcPr>
            <w:tcW w:w="3240" w:type="dxa"/>
            <w:tcBorders/>
          </w:tcPr>
          <w:p>
            <w:pPr>
              <w:pStyle w:val="Normal"/>
              <w:snapToGrid w:val="false"/>
              <w:rPr>
                <w:b/>
              </w:rPr>
            </w:pPr>
            <w:r>
              <w:rPr>
                <w:b/>
              </w:rPr>
            </w:r>
          </w:p>
        </w:tc>
      </w:tr>
      <w:tr>
        <w:trPr>
          <w:trHeight w:val="467" w:hRule="atLeast"/>
        </w:trPr>
        <w:tc>
          <w:tcPr>
            <w:tcW w:w="1278" w:type="dxa"/>
            <w:tcBorders/>
          </w:tcPr>
          <w:p>
            <w:pPr>
              <w:pStyle w:val="Normal"/>
              <w:rPr>
                <w:b/>
              </w:rPr>
            </w:pPr>
            <w:r>
              <w:rPr>
                <w:b/>
              </w:rPr>
              <w:t>DATE:</w:t>
            </w:r>
          </w:p>
        </w:tc>
        <w:tc>
          <w:tcPr>
            <w:tcW w:w="4302" w:type="dxa"/>
            <w:tcBorders/>
          </w:tcPr>
          <w:p>
            <w:pPr>
              <w:pStyle w:val="Normal"/>
              <w:rPr/>
            </w:pPr>
            <w:bookmarkStart w:id="8" w:name="date"/>
            <w:bookmarkEnd w:id="8"/>
            <w:r>
              <w:rPr/>
              <w:t>June 8, 2001</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513" w:hRule="atLeast"/>
        </w:trPr>
        <w:tc>
          <w:tcPr>
            <w:tcW w:w="1278" w:type="dxa"/>
            <w:tcBorders/>
          </w:tcPr>
          <w:p>
            <w:pPr>
              <w:pStyle w:val="Normal"/>
              <w:rPr>
                <w:b/>
              </w:rPr>
            </w:pPr>
            <w:r>
              <w:rPr>
                <w:b/>
              </w:rPr>
              <w:t>RE:</w:t>
            </w:r>
          </w:p>
        </w:tc>
        <w:tc>
          <w:tcPr>
            <w:tcW w:w="8082" w:type="dxa"/>
            <w:gridSpan w:val="3"/>
            <w:tcBorders/>
          </w:tcPr>
          <w:p>
            <w:pPr>
              <w:pStyle w:val="Normal"/>
              <w:rPr/>
            </w:pPr>
            <w:bookmarkStart w:id="9" w:name="re"/>
            <w:bookmarkEnd w:id="9"/>
            <w:r>
              <w:rPr/>
              <w:t>Enron/Blakes Relationship</w:t>
            </w:r>
          </w:p>
        </w:tc>
      </w:tr>
    </w:tbl>
    <w:p>
      <w:pPr>
        <w:pStyle w:val="Normal"/>
        <w:rPr>
          <w:lang w:val="en-CA"/>
        </w:rPr>
      </w:pPr>
      <w:r>
        <w:rPr>
          <w:lang w:val="en-CA"/>
        </w:rPr>
        <mc:AlternateContent>
          <mc:Choice Requires="wps">
            <w:drawing>
              <wp:anchor behindDoc="0" distT="0" distB="0" distL="114935" distR="114935" simplePos="0" locked="0" layoutInCell="0" allowOverlap="1" relativeHeight="3">
                <wp:simplePos x="0" y="0"/>
                <wp:positionH relativeFrom="page">
                  <wp:posOffset>914400</wp:posOffset>
                </wp:positionH>
                <wp:positionV relativeFrom="paragraph">
                  <wp:posOffset>133985</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0.55pt" to="539.95pt,10.55pt" stroked="t" o:allowincell="f" style="position:absolute;mso-position-horizontal-relative:page">
                <v:stroke color="black" weight="19080" joinstyle="miter" endcap="flat"/>
                <v:fill o:detectmouseclick="t" on="false"/>
                <w10:wrap type="none"/>
              </v:line>
            </w:pict>
          </mc:Fallback>
        </mc:AlternateContent>
      </w:r>
    </w:p>
    <w:p>
      <w:pPr>
        <w:pStyle w:val="Normal"/>
        <w:suppressAutoHyphens w:val="true"/>
        <w:rPr/>
      </w:pPr>
      <w:r>
        <w:rPr/>
      </w:r>
    </w:p>
    <w:p>
      <w:pPr>
        <w:pStyle w:val="Normal"/>
        <w:suppressAutoHyphens w:val="true"/>
        <w:rPr/>
      </w:pPr>
      <w:r>
        <w:rPr/>
      </w:r>
    </w:p>
    <w:p>
      <w:pPr>
        <w:pStyle w:val="Normal"/>
        <w:suppressAutoHyphens w:val="true"/>
        <w:rPr/>
      </w:pPr>
      <w:r>
        <w:rPr/>
        <w:tab/>
        <w:tab/>
        <w:t>I refer to your e-mail messages to David Jackson and myself, and to our telephone conversations, regarding the management of the Blakes/Enron relationship.  As you know, the ongoing relationship with Enron is of substantial importance to Blakes, and we want to ensure that we are responding to your requirements.  From Blakes perspective, we propose that we proceed as follows:</w:t>
      </w:r>
    </w:p>
    <w:p>
      <w:pPr>
        <w:pStyle w:val="Normal"/>
        <w:suppressAutoHyphens w:val="true"/>
        <w:rPr/>
      </w:pPr>
      <w:r>
        <w:rPr/>
      </w:r>
    </w:p>
    <w:p>
      <w:pPr>
        <w:pStyle w:val="Normal"/>
        <w:suppressAutoHyphens w:val="true"/>
        <w:rPr/>
      </w:pPr>
      <w:r>
        <w:rPr/>
        <w:tab/>
        <w:t>1.</w:t>
        <w:tab/>
        <w:t>David Jackson and I will jointly act as relationship partners for the Enron account.  David, as you know, is the past Chairman of the Firm and currently the Chair of the Firm’s Conflicts Committee.  I am currently the Chairman of the Firm and, prior to February of this year, was the Managing Partner of the Firm.  I believe that, between the two of us, David and I meet the criteria which Enron looks for in its relationship partners in its external Firms.</w:t>
      </w:r>
    </w:p>
    <w:p>
      <w:pPr>
        <w:pStyle w:val="Normal"/>
        <w:suppressAutoHyphens w:val="true"/>
        <w:rPr/>
      </w:pPr>
      <w:r>
        <w:rPr/>
      </w:r>
    </w:p>
    <w:p>
      <w:pPr>
        <w:pStyle w:val="Normal"/>
        <w:suppressAutoHyphens w:val="true"/>
        <w:rPr/>
      </w:pPr>
      <w:r>
        <w:rPr/>
        <w:tab/>
        <w:t>2.</w:t>
        <w:tab/>
        <w:t>At an operational level, the Blakes team in Calgary for Enron will continue to include Brock Gibson, Mungo Hardwicke-Brown, Wally Shaw, Robert Anderson, Dalton McGrath, Chris Christopher, Bernadette Alexander, Mike Knapp and any of our other lawyers whom you would like to engage on Enron matters.  In Toronto, the team would include Ernest McNee, David Jackson, myself and again any of the other lawyers who have the expertise which you require.  I would suggest that Brock co-ordinate the efforts in Calgary on a day-to-day basis and that Ernest do likewise in Toronto.  I would also suggest that meetings be held between Enron and Blakes on a regular basis to ensure that we are meeting your legal requirements and service expectations.</w:t>
      </w:r>
    </w:p>
    <w:p>
      <w:pPr>
        <w:pStyle w:val="Normal"/>
        <w:suppressAutoHyphens w:val="true"/>
        <w:rPr/>
      </w:pPr>
      <w:r>
        <w:rPr/>
      </w:r>
    </w:p>
    <w:p>
      <w:pPr>
        <w:pStyle w:val="Normal"/>
        <w:suppressAutoHyphens w:val="true"/>
        <w:rPr/>
      </w:pPr>
      <w:r>
        <w:rPr/>
        <w:tab/>
        <w:t>3.</w:t>
        <w:tab/>
        <w:t>In order to ensure that we do not suffer a repetition of last December’s problem, we will internally take steps to ensure that all proposed retainers from Enron are cleared through both David Jackson and myself before we formally undertake steps on Enron’s behalf.</w:t>
      </w:r>
    </w:p>
    <w:p>
      <w:pPr>
        <w:pStyle w:val="Normal"/>
        <w:suppressAutoHyphens w:val="true"/>
        <w:rPr/>
      </w:pPr>
      <w:r>
        <w:rPr/>
      </w:r>
    </w:p>
    <w:p>
      <w:pPr>
        <w:pStyle w:val="Normal"/>
        <w:suppressAutoHyphens w:val="true"/>
        <w:rPr/>
      </w:pPr>
      <w:r>
        <w:rPr/>
        <w:tab/>
        <w:tab/>
        <w:t>Because the restoration of the Enron/Blakes relationship has consumed a great deal of your time and that of a number of others, we want to implement a procedure which will avoid a repetition of the problem that created that difficulty.  In that regard, we understand, and accept, Enron’s position that it expects its counsel to be aligned with its interests, and that it will not engage counsel who act against it without consent.  Hopefully, the procedure we are proposing internally will ensure that the difficulties like the one we experienced in December will not recur.</w:t>
      </w:r>
    </w:p>
    <w:p>
      <w:pPr>
        <w:pStyle w:val="Normal"/>
        <w:suppressAutoHyphens w:val="true"/>
        <w:rPr/>
      </w:pPr>
      <w:r>
        <w:rPr/>
      </w:r>
    </w:p>
    <w:p>
      <w:pPr>
        <w:pStyle w:val="Normal"/>
        <w:suppressAutoHyphens w:val="true"/>
        <w:rPr/>
      </w:pPr>
      <w:r>
        <w:rPr/>
        <w:tab/>
        <w:tab/>
        <w:t>I hope that the foregoing meets your requirements, and I would be glad to discuss any aspect of it with you at your convenience.</w:t>
      </w:r>
    </w:p>
    <w:p>
      <w:pPr>
        <w:pStyle w:val="Normal"/>
        <w:suppressAutoHyphens w:val="true"/>
        <w:rPr/>
      </w:pPr>
      <w:r>
        <w:rPr/>
      </w:r>
    </w:p>
    <w:p>
      <w:pPr>
        <w:pStyle w:val="Normal"/>
        <w:suppressAutoHyphens w:val="true"/>
        <w:rPr/>
      </w:pPr>
      <w:r>
        <w:rPr/>
        <w:tab/>
        <w:tab/>
        <w:t>Best regards.</w:t>
      </w:r>
    </w:p>
    <w:p>
      <w:pPr>
        <w:pStyle w:val="Normal"/>
        <w:suppressAutoHyphens w:val="true"/>
        <w:rPr/>
      </w:pPr>
      <w:r>
        <w:rPr/>
      </w:r>
    </w:p>
    <w:p>
      <w:pPr>
        <w:pStyle w:val="Normal"/>
        <w:suppressAutoHyphens w:val="true"/>
        <w:rPr/>
      </w:pPr>
      <w:r>
        <w:rPr/>
      </w:r>
    </w:p>
    <w:p>
      <w:pPr>
        <w:pStyle w:val="Normal"/>
        <w:suppressAutoHyphens w:val="true"/>
        <w:rPr/>
      </w:pPr>
      <w:r>
        <w:rPr/>
        <w:t>/jb</w:t>
      </w:r>
    </w:p>
    <w:p>
      <w:pPr>
        <w:pStyle w:val="Normal"/>
        <w:suppressAutoHyphens w:val="true"/>
        <w:rPr/>
      </w:pPr>
      <w:r>
        <w:rPr/>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11241638.1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11241638.1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page">
                <wp:posOffset>6456045</wp:posOffset>
              </wp:positionH>
              <wp:positionV relativeFrom="page">
                <wp:posOffset>969645</wp:posOffset>
              </wp:positionV>
              <wp:extent cx="41084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410845"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2.35pt;height:13.8pt;mso-wrap-distance-left:0pt;mso-wrap-distance-right:0pt;mso-wrap-distance-top:0pt;mso-wrap-distance-bottom:0pt;margin-top:76.3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lang w:val="en-CA"/>
    </w:rPr>
  </w:style>
  <w:style w:type="paragraph" w:styleId="Heading2">
    <w:name w:val="heading 2"/>
    <w:basedOn w:val="Normal"/>
    <w:next w:val="BodyText"/>
    <w:qFormat/>
    <w:pPr>
      <w:keepNext w:val="true"/>
      <w:numPr>
        <w:ilvl w:val="1"/>
        <w:numId w:val="1"/>
      </w:numPr>
      <w:spacing w:before="240" w:after="60"/>
      <w:outlineLvl w:val="1"/>
    </w:pPr>
    <w:rPr>
      <w:b/>
      <w:i/>
      <w:lang w:val="en-CA"/>
    </w:rPr>
  </w:style>
  <w:style w:type="paragraph" w:styleId="Heading3">
    <w:name w:val="heading 3"/>
    <w:basedOn w:val="Normal"/>
    <w:next w:val="BodyText"/>
    <w:qFormat/>
    <w:pPr>
      <w:numPr>
        <w:ilvl w:val="2"/>
        <w:numId w:val="1"/>
      </w:numPr>
      <w:spacing w:before="240" w:after="60"/>
      <w:outlineLvl w:val="2"/>
    </w:pPr>
    <w:rPr>
      <w:lang w:val="en-CA"/>
    </w:rPr>
  </w:style>
  <w:style w:type="paragraph" w:styleId="Heading4">
    <w:name w:val="heading 4"/>
    <w:basedOn w:val="Normal"/>
    <w:next w:val="BodyText"/>
    <w:qFormat/>
    <w:pPr>
      <w:numPr>
        <w:ilvl w:val="3"/>
        <w:numId w:val="1"/>
      </w:numPr>
      <w:spacing w:before="240" w:after="60"/>
      <w:outlineLvl w:val="3"/>
    </w:pPr>
    <w:rPr>
      <w:b/>
      <w:lang w:val="en-CA"/>
    </w:rPr>
  </w:style>
  <w:style w:type="paragraph" w:styleId="Heading5">
    <w:name w:val="heading 5"/>
    <w:basedOn w:val="Normal"/>
    <w:next w:val="BodyText"/>
    <w:qFormat/>
    <w:pPr>
      <w:numPr>
        <w:ilvl w:val="4"/>
        <w:numId w:val="1"/>
      </w:numPr>
      <w:spacing w:before="240" w:after="60"/>
      <w:outlineLvl w:val="4"/>
    </w:pPr>
    <w:rPr>
      <w:sz w:val="22"/>
      <w:lang w:val="en-CA"/>
    </w:rPr>
  </w:style>
  <w:style w:type="paragraph" w:styleId="Heading6">
    <w:name w:val="heading 6"/>
    <w:basedOn w:val="Normal"/>
    <w:next w:val="BodyText"/>
    <w:qFormat/>
    <w:pPr>
      <w:numPr>
        <w:ilvl w:val="5"/>
        <w:numId w:val="1"/>
      </w:numPr>
      <w:spacing w:before="240" w:after="60"/>
      <w:outlineLvl w:val="5"/>
    </w:pPr>
    <w:rPr>
      <w:i/>
      <w:sz w:val="22"/>
      <w:lang w:val="en-CA"/>
    </w:rPr>
  </w:style>
  <w:style w:type="paragraph" w:styleId="Heading7">
    <w:name w:val="heading 7"/>
    <w:basedOn w:val="Normal"/>
    <w:next w:val="BodyText"/>
    <w:qFormat/>
    <w:pPr>
      <w:numPr>
        <w:ilvl w:val="6"/>
        <w:numId w:val="1"/>
      </w:numPr>
      <w:spacing w:before="240" w:after="60"/>
      <w:outlineLvl w:val="6"/>
    </w:pPr>
    <w:rPr>
      <w:lang w:val="en-CA"/>
    </w:rPr>
  </w:style>
  <w:style w:type="paragraph" w:styleId="Heading8">
    <w:name w:val="heading 8"/>
    <w:basedOn w:val="Normal"/>
    <w:next w:val="BodyText"/>
    <w:qFormat/>
    <w:pPr>
      <w:numPr>
        <w:ilvl w:val="7"/>
        <w:numId w:val="1"/>
      </w:numPr>
      <w:spacing w:before="240" w:after="60"/>
      <w:outlineLvl w:val="7"/>
    </w:pPr>
    <w:rPr>
      <w:i/>
      <w:lang w:val="en-CA"/>
    </w:rPr>
  </w:style>
  <w:style w:type="paragraph" w:styleId="Heading9">
    <w:name w:val="heading 9"/>
    <w:basedOn w:val="Normal"/>
    <w:next w:val="BodyText"/>
    <w:qFormat/>
    <w:pPr>
      <w:numPr>
        <w:ilvl w:val="8"/>
        <w:numId w:val="1"/>
      </w:numPr>
      <w:spacing w:before="240" w:after="60"/>
      <w:outlineLvl w:val="8"/>
    </w:pPr>
    <w:rPr>
      <w:b/>
      <w:i/>
      <w:sz w:val="18"/>
      <w:lang w:val="en-CA"/>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2001-06-01T17:00:00Z</dcterms:created>
  <dc:creator>jcb</dc:creator>
  <dc:description/>
  <dc:language>en-CA</dc:language>
  <cp:lastModifiedBy>jrch</cp:lastModifiedBy>
  <cp:lastPrinted>2001-06-07T16:08:00Z</cp:lastPrinted>
  <dcterms:modified xsi:type="dcterms:W3CDTF">2001-06-08T14:40:00Z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11241638.1</vt:lpwstr>
  </property>
</Properties>
</file>