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imes New" w:hAnsi="Times New" w:cs="Times New"/>
          <w:b/>
          <w:u w:val="single"/>
        </w:rPr>
      </w:pPr>
      <w:r>
        <w:rPr>
          <w:rFonts w:cs="Times New" w:ascii="Times New" w:hAnsi="Times New"/>
          <w:b/>
          <w:u w:val="single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imes New" w:hAnsi="Times New" w:cs="Times New"/>
          <w:b/>
        </w:rPr>
      </w:pPr>
      <w:r>
        <w:rPr>
          <w:rFonts w:cs="Times New" w:ascii="Times New" w:hAnsi="Times New"/>
          <w:b/>
          <w:u w:val="single"/>
        </w:rPr>
        <w:t>Work Experience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imes New" w:hAnsi="Times New" w:cs="Times New"/>
          <w:b/>
        </w:rPr>
      </w:pPr>
      <w:r>
        <w:rPr>
          <w:rFonts w:cs="Times New" w:ascii="Times New" w:hAnsi="Times New"/>
          <w:b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imes New" w:hAnsi="Times New" w:cs="Times New"/>
          <w:b/>
        </w:rPr>
      </w:pPr>
      <w:r>
        <w:rPr>
          <w:rFonts w:cs="Times New" w:ascii="Times New" w:hAnsi="Times New"/>
          <w:b/>
        </w:rPr>
        <w:t>1998 – present</w:t>
        <w:tab/>
        <w:t>Enron South America</w:t>
        <w:tab/>
        <w:tab/>
        <w:tab/>
        <w:tab/>
        <w:tab/>
        <w:tab/>
        <w:t xml:space="preserve">                   </w:t>
      </w:r>
      <w:r>
        <w:rPr>
          <w:rFonts w:cs="Times New" w:ascii="Times New" w:hAnsi="Times New"/>
        </w:rPr>
        <w:t>São Paulo, SP</w:t>
      </w:r>
    </w:p>
    <w:p>
      <w:pPr>
        <w:pStyle w:val="Heading1"/>
        <w:ind w:hanging="0" w:start="0"/>
        <w:rPr/>
      </w:pPr>
      <w:r>
        <w:rPr/>
        <w:tab/>
        <w:tab/>
      </w:r>
      <w:r>
        <w:rPr>
          <w:i/>
        </w:rPr>
        <w:t>Director/General Manager</w:t>
      </w:r>
    </w:p>
    <w:p>
      <w:pPr>
        <w:pStyle w:val="Normal"/>
        <w:numPr>
          <w:ilvl w:val="0"/>
          <w:numId w:val="2"/>
        </w:numPr>
        <w:rPr>
          <w:rFonts w:ascii="Times New" w:hAnsi="Times New" w:cs="Times New"/>
        </w:rPr>
      </w:pPr>
      <w:r>
        <w:rPr/>
        <w:t xml:space="preserve">Enron </w:t>
      </w:r>
      <w:r>
        <w:rPr>
          <w:rFonts w:cs="Times New" w:ascii="Times New" w:hAnsi="Times New"/>
        </w:rPr>
        <w:t xml:space="preserve">Networks responsibilities for executing Enron South America internet site including summary commercial text.  Focus also on integrating global </w:t>
      </w:r>
      <w:r>
        <w:rPr>
          <w:rFonts w:cs="Times New" w:ascii="Times New" w:hAnsi="Times New"/>
          <w:b/>
          <w:i/>
        </w:rPr>
        <w:t>.com</w:t>
      </w:r>
      <w:r>
        <w:rPr>
          <w:rFonts w:cs="Times New" w:ascii="Times New" w:hAnsi="Times New"/>
        </w:rPr>
        <w:t xml:space="preserve"> initiatives into Southern Cone ( EOL, clickpaper.com, metals ), originating product opportunities ( coffee, sugar, logistics and credit, tax and finance products ).   Introduced Enron Networks initiatives to local technology, venture capital and private equity companies.</w:t>
      </w:r>
    </w:p>
    <w:p>
      <w:pPr>
        <w:pStyle w:val="Normal"/>
        <w:numPr>
          <w:ilvl w:val="0"/>
          <w:numId w:val="3"/>
        </w:numPr>
        <w:rPr>
          <w:rFonts w:ascii="Times New" w:hAnsi="Times New" w:cs="Times New"/>
          <w:b/>
        </w:rPr>
      </w:pPr>
      <w:r>
        <w:rPr>
          <w:rFonts w:cs="Times New" w:ascii="Times New" w:hAnsi="Times New"/>
        </w:rPr>
        <w:t>Participation in following executed transactions: Brazil’s first fixed-price electricity contract (Champion), initiated key Regulatory and LDC negotiations for Enron’s and Brazil’s first power marketing transaction (3MW sugar sector )</w:t>
      </w:r>
    </w:p>
    <w:p>
      <w:pPr>
        <w:pStyle w:val="Normal"/>
        <w:numPr>
          <w:ilvl w:val="0"/>
          <w:numId w:val="3"/>
        </w:numPr>
        <w:rPr>
          <w:rFonts w:ascii="Times New" w:hAnsi="Times New" w:cs="Times New"/>
          <w:b/>
        </w:rPr>
      </w:pPr>
      <w:r>
        <w:rPr>
          <w:rFonts w:cs="Times New" w:ascii="Times New" w:hAnsi="Times New"/>
        </w:rPr>
        <w:t xml:space="preserve">Initiatied transactions in power sale linked to paper index (Champion), first tranche power purchase with Petrobras (11MWs), Aracruz power off-take and swap LOI (100MWs), and O Globo and Gazeta Mercantil proposals (energy outsourcing, newsprint supply and power supply and off-take transactions) </w:t>
      </w:r>
    </w:p>
    <w:p>
      <w:pPr>
        <w:pStyle w:val="Normal"/>
        <w:numPr>
          <w:ilvl w:val="0"/>
          <w:numId w:val="4"/>
        </w:num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imes New" w:hAnsi="Times New" w:cs="Times New"/>
          <w:b/>
        </w:rPr>
      </w:pPr>
      <w:r>
        <w:rPr>
          <w:rFonts w:cs="Times New" w:ascii="Times New" w:hAnsi="Times New"/>
        </w:rPr>
        <w:t>Responsibility for origination initiatives in targeting the Wholesale and Retail (Heavy and Light Industrial ) markets for commodity supply and off-take, financing and energy outsourcing products ( electricity, pulp &amp; paper, metals and petrochemicals )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start="1440" w:end="0"/>
        <w:rPr>
          <w:rFonts w:ascii="Times New" w:hAnsi="Times New" w:cs="Times New"/>
          <w:b/>
        </w:rPr>
      </w:pPr>
      <w:r>
        <w:rPr>
          <w:rFonts w:cs="Times New" w:ascii="Times New" w:hAnsi="Times New"/>
          <w:b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/>
      </w:pPr>
      <w:r>
        <w:rPr>
          <w:rFonts w:cs="Times New" w:ascii="Times New" w:hAnsi="Times New"/>
          <w:b/>
        </w:rPr>
        <w:t xml:space="preserve">1992 </w:t>
        <w:noBreakHyphen/>
        <w:t xml:space="preserve"> 1998</w:t>
        <w:tab/>
        <w:t>Cargill, Inc</w:t>
      </w:r>
      <w:r>
        <w:rPr>
          <w:rFonts w:cs="Times New" w:ascii="Times New" w:hAnsi="Times New"/>
        </w:rPr>
        <w:t>.</w:t>
        <w:tab/>
        <w:tab/>
        <w:tab/>
        <w:tab/>
        <w:t xml:space="preserve">          </w:t>
        <w:tab/>
        <w:t xml:space="preserve">                New York, NY and Boston, MA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/>
      </w:pPr>
      <w:r>
        <w:rPr>
          <w:rFonts w:cs="Times New" w:ascii="Times New" w:hAnsi="Times New"/>
          <w:b/>
        </w:rPr>
        <w:t xml:space="preserve">1994 </w:t>
        <w:noBreakHyphen/>
        <w:tab/>
        <w:t xml:space="preserve"> </w:t>
        <w:tab/>
        <w:t>Cargill Investor Services, Inc</w:t>
      </w:r>
      <w:r>
        <w:rPr>
          <w:rFonts w:cs="Times New" w:ascii="Times New" w:hAnsi="Times New"/>
        </w:rPr>
        <w:t>.</w:t>
        <w:tab/>
        <w:t xml:space="preserve">( </w:t>
      </w:r>
      <w:r>
        <w:rPr>
          <w:rFonts w:cs="Times New" w:ascii="Times New" w:hAnsi="Times New"/>
          <w:b/>
          <w:i/>
        </w:rPr>
        <w:t xml:space="preserve">CIS </w:t>
      </w:r>
      <w:r>
        <w:rPr>
          <w:rFonts w:cs="Times New" w:ascii="Times New" w:hAnsi="Times New"/>
        </w:rPr>
        <w:t xml:space="preserve"> )</w:t>
        <w:tab/>
        <w:t xml:space="preserve">     </w:t>
        <w:tab/>
        <w:tab/>
        <w:tab/>
        <w:t xml:space="preserve">                New York, NY 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/>
      </w:pPr>
      <w:r>
        <w:rPr>
          <w:rFonts w:cs="Times New" w:ascii="Times New" w:hAnsi="Times New"/>
        </w:rPr>
        <w:tab/>
        <w:tab/>
      </w:r>
      <w:r>
        <w:rPr>
          <w:rFonts w:cs="Times New" w:ascii="Times New" w:hAnsi="Times New"/>
          <w:b/>
          <w:i/>
        </w:rPr>
        <w:t>Senior</w:t>
      </w:r>
      <w:r>
        <w:rPr>
          <w:rFonts w:cs="Times New" w:ascii="Times New" w:hAnsi="Times New"/>
          <w:b/>
        </w:rPr>
        <w:t xml:space="preserve"> </w:t>
      </w:r>
      <w:r>
        <w:rPr>
          <w:rFonts w:cs="Times New" w:ascii="Times New" w:hAnsi="Times New"/>
          <w:b/>
          <w:i/>
        </w:rPr>
        <w:t>Manager, CIS Energy Group</w:t>
      </w:r>
    </w:p>
    <w:p>
      <w:pPr>
        <w:pStyle w:val="Normal"/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360" w:start="1800" w:end="0"/>
        <w:rPr/>
      </w:pPr>
      <w:r>
        <w:rPr>
          <w:rFonts w:cs="Times New" w:ascii="Times New" w:hAnsi="Times New"/>
          <w:i/>
        </w:rPr>
        <w:t>-</w:t>
        <w:tab/>
      </w:r>
      <w:r>
        <w:rPr>
          <w:rFonts w:cs="Times New" w:ascii="Times New" w:hAnsi="Times New"/>
        </w:rPr>
        <w:t>Managed 35 person NYMEX exchange</w:t>
        <w:noBreakHyphen/>
        <w:t xml:space="preserve"> and OTC products brokerage groups in petroleum and electricity markets. Turned around core business and launched OTC product lines in first 12 months with a U$10m budget, seven figure profitability.</w:t>
      </w:r>
    </w:p>
    <w:p>
      <w:pPr>
        <w:pStyle w:val="Normal"/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360" w:start="1800" w:end="0"/>
        <w:rPr>
          <w:rFonts w:ascii="Times New" w:hAnsi="Times New" w:cs="Times New"/>
        </w:rPr>
      </w:pPr>
      <w:r>
        <w:rPr>
          <w:rFonts w:cs="Times New" w:ascii="Times New" w:hAnsi="Times New"/>
        </w:rPr>
        <w:noBreakHyphen/>
      </w:r>
      <w:r>
        <w:rPr>
          <w:rFonts w:eastAsia="Times New" w:cs="Times New" w:ascii="Times New" w:hAnsi="Times New"/>
        </w:rPr>
        <w:t xml:space="preserve"> </w:t>
      </w:r>
      <w:r>
        <w:rPr>
          <w:rFonts w:cs="Times New" w:ascii="Times New" w:hAnsi="Times New"/>
        </w:rPr>
        <w:tab/>
        <w:t>Electricity marketing concentrated in WSCC wholesale power participants, including developed OTC niche in off</w:t>
        <w:noBreakHyphen/>
        <w:t>peak and flat power, options and DJ index transactions.</w:t>
      </w:r>
    </w:p>
    <w:p>
      <w:pPr>
        <w:pStyle w:val="Normal"/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360" w:start="1800" w:end="0"/>
        <w:rPr>
          <w:rFonts w:ascii="Times New" w:hAnsi="Times New" w:cs="Times New"/>
        </w:rPr>
      </w:pPr>
      <w:r>
        <w:rPr>
          <w:rFonts w:cs="Times New" w:ascii="Times New" w:hAnsi="Times New"/>
        </w:rPr>
      </w:r>
    </w:p>
    <w:p>
      <w:pPr>
        <w:pStyle w:val="Normal"/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360" w:start="1800" w:end="0"/>
        <w:rPr>
          <w:rFonts w:ascii="Times New" w:hAnsi="Times New" w:cs="Times New"/>
        </w:rPr>
      </w:pPr>
      <w:r>
        <w:rPr>
          <w:rFonts w:cs="Times New" w:ascii="Times New" w:hAnsi="Times New"/>
          <w:i/>
        </w:rPr>
        <w:t>Institutional Sales &amp; Marketing</w:t>
      </w:r>
    </w:p>
    <w:p>
      <w:pPr>
        <w:pStyle w:val="Normal"/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360" w:start="1800" w:end="0"/>
        <w:rPr/>
      </w:pPr>
      <w:r>
        <w:rPr>
          <w:rFonts w:cs="Times New" w:ascii="Times New" w:hAnsi="Times New"/>
        </w:rPr>
        <w:noBreakHyphen/>
      </w:r>
      <w:r>
        <w:rPr>
          <w:rFonts w:eastAsia="Times New" w:cs="Times New" w:ascii="Times New" w:hAnsi="Times New"/>
        </w:rPr>
        <w:t xml:space="preserve"> </w:t>
      </w:r>
      <w:r>
        <w:rPr>
          <w:rFonts w:cs="Times New" w:ascii="Times New" w:hAnsi="Times New"/>
        </w:rPr>
        <w:tab/>
        <w:t xml:space="preserve">Comprehensive, global role in marketing for Energy and </w:t>
      </w:r>
      <w:r>
        <w:rPr>
          <w:rFonts w:cs="Times New" w:ascii="Times New" w:hAnsi="Times New"/>
          <w:b/>
          <w:i/>
        </w:rPr>
        <w:t xml:space="preserve">CIS </w:t>
      </w:r>
      <w:r>
        <w:rPr>
          <w:rFonts w:cs="Times New" w:ascii="Times New" w:hAnsi="Times New"/>
        </w:rPr>
        <w:t>commodity product lines into Hedge Fund and Institutional Markets</w:t>
      </w:r>
    </w:p>
    <w:p>
      <w:pPr>
        <w:pStyle w:val="Normal"/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360" w:start="1800" w:end="0"/>
        <w:rPr>
          <w:rFonts w:ascii="Times New" w:hAnsi="Times New" w:cs="Times New"/>
        </w:rPr>
      </w:pPr>
      <w:r>
        <w:rPr>
          <w:rFonts w:cs="Times New" w:ascii="Times New" w:hAnsi="Times New"/>
        </w:rPr>
        <w:noBreakHyphen/>
      </w:r>
      <w:r>
        <w:rPr>
          <w:rFonts w:eastAsia="Times New" w:cs="Times New" w:ascii="Times New" w:hAnsi="Times New"/>
        </w:rPr>
        <w:t xml:space="preserve"> </w:t>
      </w:r>
      <w:r>
        <w:rPr>
          <w:rFonts w:cs="Times New" w:ascii="Times New" w:hAnsi="Times New"/>
        </w:rPr>
        <w:tab/>
        <w:t>Co</w:t>
        <w:noBreakHyphen/>
        <w:t>managed Latin American marketing for all product lines.</w:t>
      </w:r>
    </w:p>
    <w:p>
      <w:pPr>
        <w:pStyle w:val="Normal"/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360" w:start="1800" w:end="0"/>
        <w:rPr/>
      </w:pPr>
      <w:r>
        <w:rPr>
          <w:rFonts w:cs="Times New" w:ascii="Times New" w:hAnsi="Times New"/>
        </w:rPr>
        <w:noBreakHyphen/>
      </w:r>
      <w:r>
        <w:rPr>
          <w:rFonts w:eastAsia="Times New" w:cs="Times New" w:ascii="Times New" w:hAnsi="Times New"/>
        </w:rPr>
        <w:t xml:space="preserve"> </w:t>
      </w:r>
      <w:r>
        <w:rPr>
          <w:rFonts w:cs="Times New" w:ascii="Times New" w:hAnsi="Times New"/>
        </w:rPr>
        <w:tab/>
        <w:t xml:space="preserve">Commodity experience includes Energy and Electricity, Coffee, Industrial Metals, and Orange Juice with companies in </w:t>
      </w:r>
      <w:r>
        <w:rPr>
          <w:rFonts w:cs="Times New" w:ascii="Times New" w:hAnsi="Times New"/>
          <w:i/>
        </w:rPr>
        <w:t>Europe</w:t>
      </w:r>
      <w:r>
        <w:rPr>
          <w:rFonts w:cs="Times New" w:ascii="Times New" w:hAnsi="Times New"/>
        </w:rPr>
        <w:t xml:space="preserve">, </w:t>
      </w:r>
      <w:r>
        <w:rPr>
          <w:rFonts w:cs="Times New" w:ascii="Times New" w:hAnsi="Times New"/>
          <w:i/>
        </w:rPr>
        <w:t xml:space="preserve">North </w:t>
      </w:r>
      <w:r>
        <w:rPr>
          <w:rFonts w:cs="Times New" w:ascii="Times New" w:hAnsi="Times New"/>
        </w:rPr>
        <w:t xml:space="preserve">and </w:t>
      </w:r>
      <w:r>
        <w:rPr>
          <w:rFonts w:cs="Times New" w:ascii="Times New" w:hAnsi="Times New"/>
          <w:i/>
        </w:rPr>
        <w:t>South America</w:t>
      </w:r>
      <w:r>
        <w:rPr>
          <w:rFonts w:cs="Times New" w:ascii="Times New" w:hAnsi="Times New"/>
        </w:rPr>
        <w:t>.</w:t>
      </w:r>
    </w:p>
    <w:p>
      <w:pPr>
        <w:pStyle w:val="Normal"/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360" w:start="1800" w:end="0"/>
        <w:rPr>
          <w:rFonts w:ascii="Times New" w:hAnsi="Times New" w:cs="Times New"/>
        </w:rPr>
      </w:pPr>
      <w:r>
        <w:rPr>
          <w:rFonts w:cs="Times New" w:ascii="Times New" w:hAnsi="Times New"/>
        </w:rPr>
      </w:r>
    </w:p>
    <w:p>
      <w:pPr>
        <w:pStyle w:val="Normal"/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1440" w:start="1440" w:end="0"/>
        <w:rPr/>
      </w:pPr>
      <w:r>
        <w:rPr>
          <w:rFonts w:cs="Times New" w:ascii="Times New" w:hAnsi="Times New"/>
          <w:b/>
        </w:rPr>
        <w:t>1992 – 1994</w:t>
        <w:tab/>
        <w:t>Cargill Energy, Inc.</w:t>
      </w:r>
      <w:r>
        <w:rPr>
          <w:rFonts w:cs="Times New" w:ascii="Times New" w:hAnsi="Times New"/>
        </w:rPr>
        <w:tab/>
        <w:tab/>
        <w:tab/>
        <w:tab/>
        <w:t xml:space="preserve">         </w:t>
        <w:tab/>
        <w:t xml:space="preserve">                                    Boston, MA</w:t>
      </w:r>
    </w:p>
    <w:p>
      <w:pPr>
        <w:pStyle w:val="Normal"/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360" w:start="1800" w:end="0"/>
        <w:rPr>
          <w:rFonts w:ascii="Times New" w:hAnsi="Times New" w:cs="Times New"/>
          <w:b/>
        </w:rPr>
      </w:pPr>
      <w:r>
        <w:rPr>
          <w:rFonts w:cs="Times New" w:ascii="Times New" w:hAnsi="Times New"/>
          <w:b/>
          <w:i/>
        </w:rPr>
        <w:t>Proprietary Trader</w:t>
      </w:r>
      <w:r>
        <w:rPr>
          <w:rFonts w:cs="Times New" w:ascii="Times New" w:hAnsi="Times New"/>
          <w:b/>
        </w:rPr>
        <w:t xml:space="preserve">, </w:t>
      </w:r>
      <w:r>
        <w:rPr>
          <w:rFonts w:cs="Times New" w:ascii="Times New" w:hAnsi="Times New"/>
          <w:b/>
          <w:i/>
        </w:rPr>
        <w:t>Petroleum Derivatives</w:t>
      </w:r>
    </w:p>
    <w:p>
      <w:pPr>
        <w:pStyle w:val="Normal"/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360" w:start="1800" w:end="0"/>
        <w:rPr/>
      </w:pPr>
      <w:r>
        <w:rPr>
          <w:rFonts w:cs="Times New" w:ascii="Times New" w:hAnsi="Times New"/>
        </w:rPr>
        <w:noBreakHyphen/>
      </w:r>
      <w:r>
        <w:rPr>
          <w:rFonts w:eastAsia="Times New" w:cs="Times New" w:ascii="Times New" w:hAnsi="Times New"/>
        </w:rPr>
        <w:t xml:space="preserve"> </w:t>
      </w:r>
      <w:r>
        <w:rPr>
          <w:rFonts w:cs="Times New" w:ascii="Times New" w:hAnsi="Times New"/>
        </w:rPr>
        <w:tab/>
        <w:t xml:space="preserve">Managed a </w:t>
      </w:r>
      <w:r>
        <w:rPr>
          <w:rFonts w:cs="Times New" w:ascii="Times New" w:hAnsi="Times New"/>
          <w:i/>
        </w:rPr>
        <w:t>profitable</w:t>
      </w:r>
      <w:r>
        <w:rPr>
          <w:rFonts w:cs="Times New" w:ascii="Times New" w:hAnsi="Times New"/>
        </w:rPr>
        <w:t xml:space="preserve"> OTC and options portfolio with $20 million of equity capital, with volatility positions in crude oil and products in both physical and financial products.</w:t>
      </w:r>
    </w:p>
    <w:p>
      <w:pPr>
        <w:pStyle w:val="Normal"/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360" w:start="1800" w:end="0"/>
        <w:rPr>
          <w:rFonts w:ascii="Times New" w:hAnsi="Times New" w:cs="Times New"/>
        </w:rPr>
      </w:pPr>
      <w:r>
        <w:rPr>
          <w:rFonts w:cs="Times New" w:ascii="Times New" w:hAnsi="Times New"/>
        </w:rPr>
      </w:r>
    </w:p>
    <w:p>
      <w:pPr>
        <w:pStyle w:val="Normal"/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1440" w:start="1440" w:end="0"/>
        <w:rPr/>
      </w:pPr>
      <w:r>
        <w:rPr>
          <w:rFonts w:cs="Times New" w:ascii="Times New" w:hAnsi="Times New"/>
          <w:b/>
        </w:rPr>
        <w:t>1985 – 1989</w:t>
        <w:tab/>
        <w:t>DG BANK</w:t>
      </w:r>
      <w:r>
        <w:rPr>
          <w:rFonts w:cs="Times New" w:ascii="Times New" w:hAnsi="Times New"/>
        </w:rPr>
        <w:t xml:space="preserve"> Deutsche Genossenschaftsbank                           Frankfurt, FRG and Zurich, CH</w:t>
      </w:r>
    </w:p>
    <w:p>
      <w:pPr>
        <w:pStyle w:val="Normal"/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360" w:start="1800" w:end="0"/>
        <w:rPr>
          <w:rFonts w:ascii="Times New" w:hAnsi="Times New" w:cs="Times New"/>
          <w:b/>
        </w:rPr>
      </w:pPr>
      <w:r>
        <w:rPr>
          <w:rFonts w:cs="Times New" w:ascii="Times New" w:hAnsi="Times New"/>
          <w:b/>
          <w:i/>
        </w:rPr>
        <w:t>Senior Trader</w:t>
      </w:r>
      <w:r>
        <w:rPr>
          <w:rFonts w:cs="Times New" w:ascii="Times New" w:hAnsi="Times New"/>
          <w:b/>
        </w:rPr>
        <w:t xml:space="preserve">, </w:t>
      </w:r>
      <w:r>
        <w:rPr>
          <w:rFonts w:cs="Times New" w:ascii="Times New" w:hAnsi="Times New"/>
          <w:b/>
          <w:i/>
        </w:rPr>
        <w:t>Financial Engineering Group</w:t>
      </w:r>
    </w:p>
    <w:p>
      <w:pPr>
        <w:pStyle w:val="Normal"/>
        <w:numPr>
          <w:ilvl w:val="0"/>
          <w:numId w:val="4"/>
        </w:numPr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imes New" w:hAnsi="Times New" w:cs="Times New"/>
        </w:rPr>
      </w:pPr>
      <w:r>
        <w:rPr>
          <w:rFonts w:cs="Times New" w:ascii="Times New" w:hAnsi="Times New"/>
        </w:rPr>
        <w:t>Managed discretionary interest</w:t>
        <w:noBreakHyphen/>
        <w:t>rate swap book, multiple currencies with $50 million of equity capital.   Portfolio included positions in German Bonds, Interest Rate Swaps, Forward Rate Agreements (FRAs),  Futures and Options, and OTC Swap Option markets</w:t>
      </w:r>
    </w:p>
    <w:p>
      <w:pPr>
        <w:pStyle w:val="Normal"/>
        <w:numPr>
          <w:ilvl w:val="0"/>
          <w:numId w:val="4"/>
        </w:numPr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imes New" w:hAnsi="Times New" w:cs="Times New"/>
        </w:rPr>
      </w:pPr>
      <w:r>
        <w:rPr>
          <w:rFonts w:cs="Times New" w:ascii="Times New" w:hAnsi="Times New"/>
        </w:rPr>
        <w:t>Marketed  Interest Rate derivative hedging structures to German corporates.</w:t>
      </w:r>
    </w:p>
    <w:p>
      <w:pPr>
        <w:pStyle w:val="Normal"/>
        <w:numPr>
          <w:ilvl w:val="0"/>
          <w:numId w:val="4"/>
        </w:numPr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imes New" w:hAnsi="Times New" w:cs="Times New"/>
        </w:rPr>
      </w:pPr>
      <w:r>
        <w:rPr>
          <w:rFonts w:cs="Times New" w:ascii="Times New" w:hAnsi="Times New"/>
        </w:rPr>
        <w:t xml:space="preserve">Hired, trained and managed a 5 </w:t>
        <w:noBreakHyphen/>
        <w:t xml:space="preserve"> person trading desk.</w:t>
      </w:r>
    </w:p>
    <w:p>
      <w:pPr>
        <w:pStyle w:val="Normal"/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360" w:start="1800" w:end="0"/>
        <w:rPr>
          <w:rFonts w:ascii="Times New" w:hAnsi="Times New" w:cs="Times New"/>
        </w:rPr>
      </w:pPr>
      <w:r>
        <w:rPr>
          <w:rFonts w:cs="Times New" w:ascii="Times New" w:hAnsi="Times New"/>
        </w:rPr>
      </w:r>
    </w:p>
    <w:p>
      <w:pPr>
        <w:pStyle w:val="Normal"/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360" w:start="1800" w:end="0"/>
        <w:rPr>
          <w:rFonts w:ascii="Times New" w:hAnsi="Times New" w:cs="Times New"/>
          <w:b/>
        </w:rPr>
      </w:pPr>
      <w:r>
        <w:rPr>
          <w:rFonts w:cs="Times New" w:ascii="Times New" w:hAnsi="Times New"/>
          <w:b/>
          <w:u w:val="single"/>
        </w:rPr>
        <w:t>Education</w:t>
      </w:r>
    </w:p>
    <w:p>
      <w:pPr>
        <w:pStyle w:val="Normal"/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1440" w:start="1440" w:end="0"/>
        <w:rPr/>
      </w:pPr>
      <w:r>
        <w:rPr>
          <w:rFonts w:cs="Times New" w:ascii="Times New" w:hAnsi="Times New"/>
          <w:b/>
        </w:rPr>
        <w:t>1989 – 1991</w:t>
        <w:tab/>
        <w:t xml:space="preserve">Massachusetts Institute of Technology, Sloan School </w:t>
        <w:tab/>
        <w:t xml:space="preserve">                            </w:t>
      </w:r>
      <w:r>
        <w:rPr>
          <w:rFonts w:cs="Times New" w:ascii="Times New" w:hAnsi="Times New"/>
        </w:rPr>
        <w:t>Cambridge, MA</w:t>
      </w:r>
    </w:p>
    <w:p>
      <w:pPr>
        <w:pStyle w:val="Normal"/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1440" w:start="1440" w:end="0"/>
        <w:rPr/>
      </w:pPr>
      <w:r>
        <w:rPr>
          <w:rFonts w:cs="Times New" w:ascii="Times New" w:hAnsi="Times New"/>
          <w:i/>
        </w:rPr>
        <w:tab/>
        <w:tab/>
      </w:r>
      <w:r>
        <w:rPr>
          <w:rFonts w:cs="Times New" w:ascii="Times New" w:hAnsi="Times New"/>
          <w:b/>
        </w:rPr>
        <w:t xml:space="preserve">Degree: </w:t>
        <w:tab/>
        <w:t>Masters of Science in Management ( MBA )</w:t>
      </w:r>
    </w:p>
    <w:p>
      <w:pPr>
        <w:pStyle w:val="Normal"/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1440" w:start="1440" w:end="0"/>
        <w:rPr>
          <w:rFonts w:ascii="Times New" w:hAnsi="Times New" w:cs="Times New"/>
        </w:rPr>
      </w:pPr>
      <w:r>
        <w:rPr>
          <w:rFonts w:cs="Times New" w:ascii="Times New" w:hAnsi="Times New"/>
          <w:i/>
        </w:rPr>
        <w:tab/>
        <w:tab/>
        <w:t>Thesis</w:t>
      </w:r>
      <w:r>
        <w:rPr>
          <w:rFonts w:cs="Times New" w:ascii="Times New" w:hAnsi="Times New"/>
        </w:rPr>
        <w:t xml:space="preserve">: </w:t>
        <w:tab/>
        <w:tab/>
      </w:r>
      <w:r>
        <w:rPr>
          <w:rFonts w:cs="Times New" w:ascii="Times New" w:hAnsi="Times New"/>
          <w:i/>
        </w:rPr>
        <w:t>An Assessment of Hydrogen as an Alternative Energy Source</w:t>
      </w:r>
    </w:p>
    <w:p>
      <w:pPr>
        <w:pStyle w:val="Normal"/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1440" w:start="1440" w:end="0"/>
        <w:rPr/>
      </w:pPr>
      <w:r>
        <w:rPr>
          <w:rFonts w:cs="Times New" w:ascii="Times New" w:hAnsi="Times New"/>
          <w:i/>
        </w:rPr>
        <w:tab/>
        <w:tab/>
      </w:r>
      <w:r>
        <w:rPr>
          <w:rFonts w:cs="Times New" w:ascii="Times New" w:hAnsi="Times New"/>
        </w:rPr>
        <w:t xml:space="preserve">Concentration: </w:t>
        <w:tab/>
        <w:t>Management of Technological Innovation</w:t>
      </w:r>
    </w:p>
    <w:p>
      <w:pPr>
        <w:pStyle w:val="Footer"/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1440" w:start="1440" w:end="0"/>
        <w:rPr>
          <w:rFonts w:ascii="Times New" w:hAnsi="Times New" w:cs="Times New"/>
        </w:rPr>
      </w:pPr>
      <w:r>
        <w:rPr>
          <w:rFonts w:cs="Times New" w:ascii="Times New" w:hAnsi="Times New"/>
        </w:rPr>
        <w:tab/>
        <w:tab/>
      </w:r>
    </w:p>
    <w:p>
      <w:pPr>
        <w:pStyle w:val="Footer"/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1440" w:start="1440" w:end="0"/>
        <w:rPr>
          <w:rFonts w:ascii="Times New" w:hAnsi="Times New" w:cs="Times New"/>
        </w:rPr>
      </w:pPr>
      <w:r>
        <w:rPr>
          <w:rFonts w:cs="Times New" w:ascii="Times New" w:hAnsi="Times New"/>
        </w:rPr>
      </w:r>
    </w:p>
    <w:p>
      <w:pPr>
        <w:pStyle w:val="Normal"/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1440" w:start="1440" w:end="0"/>
        <w:rPr>
          <w:rFonts w:ascii="Times New" w:hAnsi="Times New" w:cs="Times New"/>
          <w:i/>
          <w:i/>
        </w:rPr>
      </w:pPr>
      <w:r>
        <w:rPr>
          <w:rFonts w:cs="Times New" w:ascii="Times New" w:hAnsi="Times New"/>
          <w:b/>
        </w:rPr>
        <w:t>1979 – 1983</w:t>
        <w:tab/>
        <w:t xml:space="preserve">University of North Carolina, Chapel Hill                                                          </w:t>
      </w:r>
      <w:r>
        <w:rPr>
          <w:rFonts w:cs="Times New" w:ascii="Times New" w:hAnsi="Times New"/>
        </w:rPr>
        <w:t>Chapel Hill, NC</w:t>
      </w:r>
    </w:p>
    <w:p>
      <w:pPr>
        <w:pStyle w:val="Normal"/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1440" w:start="1440" w:end="0"/>
        <w:rPr>
          <w:rFonts w:ascii="Times New" w:hAnsi="Times New" w:cs="Times New"/>
        </w:rPr>
      </w:pPr>
      <w:r>
        <w:rPr>
          <w:rFonts w:cs="Times New" w:ascii="Times New" w:hAnsi="Times New"/>
          <w:i/>
        </w:rPr>
        <w:tab/>
        <w:tab/>
        <w:t>Degree</w:t>
      </w:r>
      <w:r>
        <w:rPr>
          <w:rFonts w:cs="Times New" w:ascii="Times New" w:hAnsi="Times New"/>
        </w:rPr>
        <w:t xml:space="preserve">: </w:t>
        <w:tab/>
        <w:tab/>
      </w:r>
      <w:r>
        <w:rPr>
          <w:rFonts w:cs="Times New" w:ascii="Times New" w:hAnsi="Times New"/>
          <w:i/>
        </w:rPr>
        <w:t>Bachelor of Arts</w:t>
      </w:r>
      <w:r>
        <w:rPr>
          <w:rFonts w:cs="Times New" w:ascii="Times New" w:hAnsi="Times New"/>
        </w:rPr>
        <w:t xml:space="preserve">, </w:t>
      </w:r>
      <w:r>
        <w:rPr>
          <w:rFonts w:cs="Times New" w:ascii="Times New" w:hAnsi="Times New"/>
          <w:i/>
        </w:rPr>
        <w:t>History</w:t>
      </w:r>
    </w:p>
    <w:p>
      <w:pPr>
        <w:pStyle w:val="Normal"/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1440" w:start="1440" w:end="0"/>
        <w:rPr>
          <w:rFonts w:ascii="Times New" w:hAnsi="Times New" w:cs="Times New"/>
        </w:rPr>
      </w:pPr>
      <w:r>
        <w:rPr>
          <w:rFonts w:cs="Times New" w:ascii="Times New" w:hAnsi="Times New"/>
        </w:rPr>
        <w:tab/>
        <w:tab/>
        <w:t xml:space="preserve">Award: </w:t>
        <w:tab/>
        <w:t xml:space="preserve">ACC Honor Roll, Athletic and Academic Excellence </w:t>
      </w:r>
    </w:p>
    <w:p>
      <w:pPr>
        <w:pStyle w:val="Normal"/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1440" w:start="1440" w:end="0"/>
        <w:rPr>
          <w:rFonts w:ascii="Times New" w:hAnsi="Times New" w:cs="Times New"/>
        </w:rPr>
      </w:pPr>
      <w:r>
        <w:rPr>
          <w:rFonts w:cs="Times New" w:ascii="Times New" w:hAnsi="Times New"/>
        </w:rPr>
      </w:r>
    </w:p>
    <w:p>
      <w:pPr>
        <w:pStyle w:val="Normal"/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1440" w:start="1440" w:end="0"/>
        <w:rPr>
          <w:rFonts w:ascii="Times New" w:hAnsi="Times New" w:cs="Times New"/>
          <w:b/>
        </w:rPr>
      </w:pPr>
      <w:r>
        <w:rPr>
          <w:rFonts w:cs="Times New" w:ascii="Times New" w:hAnsi="Times New"/>
          <w:b/>
          <w:u w:val="single"/>
        </w:rPr>
        <w:t>Additional Information</w:t>
      </w:r>
    </w:p>
    <w:p>
      <w:pPr>
        <w:pStyle w:val="Normal"/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1440" w:start="1440" w:end="0"/>
        <w:rPr>
          <w:rFonts w:ascii="Times New" w:hAnsi="Times New" w:cs="Times New"/>
          <w:b/>
        </w:rPr>
      </w:pPr>
      <w:r>
        <w:rPr>
          <w:rFonts w:cs="Times New" w:ascii="Times New" w:hAnsi="Times New"/>
          <w:b/>
        </w:rPr>
      </w:r>
    </w:p>
    <w:p>
      <w:pPr>
        <w:pStyle w:val="Normal"/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1440" w:start="1440" w:end="0"/>
        <w:rPr/>
      </w:pPr>
      <w:r>
        <w:rPr>
          <w:rFonts w:cs="Times New" w:ascii="Times New" w:hAnsi="Times New"/>
          <w:b/>
        </w:rPr>
        <w:t xml:space="preserve">1983 </w:t>
        <w:noBreakHyphen/>
        <w:t xml:space="preserve"> 1985</w:t>
      </w:r>
      <w:r>
        <w:rPr>
          <w:rFonts w:cs="Times New" w:ascii="Times New" w:hAnsi="Times New"/>
        </w:rPr>
        <w:tab/>
        <w:t>Player, ATP Professional Tennis Tour</w:t>
        <w:tab/>
        <w:t xml:space="preserve">                                       ATP Computer Rank:  702</w:t>
      </w:r>
    </w:p>
    <w:p>
      <w:pPr>
        <w:pStyle w:val="Normal"/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1440" w:start="1440" w:end="0"/>
        <w:rPr>
          <w:rFonts w:ascii="Times New" w:hAnsi="Times New" w:cs="Times New"/>
        </w:rPr>
      </w:pPr>
      <w:r>
        <w:rPr>
          <w:rFonts w:cs="Times New" w:ascii="Times New" w:hAnsi="Times New"/>
        </w:rPr>
      </w:r>
    </w:p>
    <w:p>
      <w:pPr>
        <w:pStyle w:val="Normal"/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1440" w:start="1440" w:end="0"/>
        <w:rPr/>
      </w:pPr>
      <w:r>
        <w:rPr>
          <w:rFonts w:cs="Times New" w:ascii="Times New" w:hAnsi="Times New"/>
          <w:b/>
        </w:rPr>
        <w:tab/>
        <w:tab/>
        <w:t>Language</w:t>
      </w:r>
      <w:r>
        <w:rPr>
          <w:rFonts w:cs="Times New" w:ascii="Times New" w:hAnsi="Times New"/>
        </w:rPr>
        <w:tab/>
        <w:t xml:space="preserve">Fluency: </w:t>
        <w:tab/>
        <w:t>English</w:t>
      </w:r>
    </w:p>
    <w:p>
      <w:pPr>
        <w:pStyle w:val="Normal"/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1440" w:start="1440" w:end="0"/>
        <w:rPr>
          <w:rFonts w:ascii="Times New" w:hAnsi="Times New" w:cs="Times New"/>
        </w:rPr>
      </w:pPr>
      <w:r>
        <w:rPr>
          <w:rFonts w:cs="Times New" w:ascii="Times New" w:hAnsi="Times New"/>
        </w:rPr>
        <w:tab/>
        <w:tab/>
        <w:tab/>
        <w:tab/>
        <w:tab/>
        <w:t xml:space="preserve">Competency: </w:t>
        <w:tab/>
        <w:t>German, Portuguese and French</w:t>
      </w:r>
    </w:p>
    <w:p>
      <w:pPr>
        <w:pStyle w:val="Normal"/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1440" w:start="1440" w:end="0"/>
        <w:rPr>
          <w:rFonts w:ascii="Times New" w:hAnsi="Times New" w:cs="Times New"/>
        </w:rPr>
      </w:pPr>
      <w:r>
        <w:rPr>
          <w:rFonts w:cs="Times New" w:ascii="Times New" w:hAnsi="Times New"/>
        </w:rPr>
      </w:r>
    </w:p>
    <w:p>
      <w:pPr>
        <w:pStyle w:val="Normal"/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1440" w:start="1440" w:end="0"/>
        <w:rPr>
          <w:rFonts w:ascii="Times New" w:hAnsi="Times New" w:cs="Times New"/>
        </w:rPr>
      </w:pPr>
      <w:r>
        <w:rPr>
          <w:rFonts w:cs="Times New" w:ascii="Times New" w:hAnsi="Times New"/>
        </w:rPr>
      </w:r>
    </w:p>
    <w:p>
      <w:pPr>
        <w:pStyle w:val="Normal"/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1440" w:start="1440" w:end="0"/>
        <w:rPr>
          <w:rFonts w:ascii="Times New" w:hAnsi="Times New" w:cs="Times New"/>
        </w:rPr>
      </w:pPr>
      <w:r>
        <w:rPr>
          <w:rFonts w:cs="Times New" w:ascii="Times New" w:hAnsi="Times New"/>
        </w:rPr>
      </w:r>
    </w:p>
    <w:p>
      <w:pPr>
        <w:pStyle w:val="Normal"/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1440" w:start="1440" w:end="0"/>
        <w:rPr>
          <w:rFonts w:ascii="Times New" w:hAnsi="Times New" w:cs="Times New"/>
        </w:rPr>
      </w:pPr>
      <w:r>
        <w:rPr>
          <w:rFonts w:cs="Times New" w:ascii="Times New" w:hAnsi="Times New"/>
        </w:rPr>
      </w:r>
    </w:p>
    <w:sectPr>
      <w:headerReference w:type="default" r:id="rId2"/>
      <w:type w:val="nextPage"/>
      <w:pgSz w:w="12240" w:h="15840"/>
      <w:pgMar w:left="1440" w:right="144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">
    <w:charset w:val="00" w:characterSet="windows-1252"/>
    <w:family w:val="roman"/>
    <w:pitch w:val="variable"/>
  </w:font>
  <w:font w:name="Times New">
    <w:charset w:val="00" w:characterSet="windows-1252"/>
    <w:family w:val="roman"/>
    <w:pitch w:val="default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enter" w:pos="4320" w:leader="none"/>
        <w:tab w:val="center" w:pos="4680" w:leader="none"/>
        <w:tab w:val="right" w:pos="8640" w:leader="none"/>
        <w:tab w:val="right" w:pos="9360" w:leader="none"/>
      </w:tabs>
      <w:jc w:val="center"/>
      <w:rPr>
        <w:rFonts w:ascii="Times New" w:hAnsi="Times New" w:cs="Times New"/>
        <w:sz w:val="32"/>
      </w:rPr>
    </w:pPr>
    <w:r>
      <w:rPr>
        <w:rFonts w:cs="Times New" w:ascii="Times New" w:hAnsi="Times New"/>
        <w:b/>
        <w:sz w:val="32"/>
      </w:rPr>
      <w:t>Joseph D'Arcy Carroll</w:t>
    </w:r>
  </w:p>
  <w:p>
    <w:pPr>
      <w:pStyle w:val="Normal"/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</w:tabs>
      <w:jc w:val="center"/>
      <w:rPr>
        <w:rFonts w:ascii="Times New" w:hAnsi="Times New" w:cs="Times New"/>
      </w:rPr>
    </w:pPr>
    <w:r>
      <w:rPr>
        <w:rFonts w:cs="Times New" w:ascii="Times New" w:hAnsi="Times New"/>
      </w:rPr>
      <w:t>Rua Salvador de Mendonça, 45 Jardim Paulistano SP Brazil Tel.: ( 011 ) 815-6942, 815-6577</w:t>
    </w:r>
  </w:p>
  <w:p>
    <w:pPr>
      <w:pStyle w:val="Normal"/>
      <w:tabs>
        <w:tab w:val="clear" w:pos="720"/>
        <w:tab w:val="center" w:pos="4680" w:leader="none"/>
        <w:tab w:val="right" w:pos="9360" w:leader="none"/>
      </w:tabs>
      <w:jc w:val="center"/>
      <w:rPr>
        <w:rFonts w:ascii="Times New" w:hAnsi="Times New" w:cs="Times New"/>
        <w:sz w:val="24"/>
      </w:rPr>
    </w:pPr>
    <w:r>
      <w:rPr>
        <w:rFonts w:cs="Times New" w:ascii="Times New" w:hAnsi="Times New"/>
      </w:rPr>
      <w:t>400 E. 52</w:t>
    </w:r>
    <w:r>
      <w:rPr>
        <w:rFonts w:cs="Times New" w:ascii="Times New" w:hAnsi="Times New"/>
        <w:vertAlign w:val="superscript"/>
      </w:rPr>
      <w:t>nd</w:t>
    </w:r>
    <w:r>
      <w:rPr>
        <w:rFonts w:cs="Times New" w:ascii="Times New" w:hAnsi="Times New"/>
      </w:rPr>
      <w:t xml:space="preserve"> Street, Apt. 15d  New York City, NY 10022 Tel.: ( 212 ) 223-7148, 702-8774</w:t>
    </w:r>
  </w:p>
  <w:p>
    <w:pPr>
      <w:pStyle w:val="Normal"/>
      <w:tabs>
        <w:tab w:val="clear" w:pos="720"/>
        <w:tab w:val="center" w:pos="4680" w:leader="none"/>
        <w:tab w:val="right" w:pos="9360" w:leader="none"/>
      </w:tabs>
      <w:jc w:val="center"/>
      <w:rPr>
        <w:rFonts w:ascii="Times New" w:hAnsi="Times New" w:cs="Times New"/>
        <w:sz w:val="24"/>
      </w:rPr>
    </w:pPr>
    <w:r>
      <w:rPr>
        <w:rFonts w:cs="Times New" w:ascii="Times New" w:hAnsi="Times New"/>
        <w:sz w:val="24"/>
      </w:rPr>
    </w:r>
  </w:p>
  <w:p>
    <w:pPr>
      <w:pStyle w:val="Normal"/>
      <w:tabs>
        <w:tab w:val="clear" w:pos="720"/>
        <w:tab w:val="center" w:pos="4680" w:leader="none"/>
        <w:tab w:val="right" w:pos="9360" w:leader="none"/>
      </w:tabs>
      <w:jc w:val="center"/>
      <w:rPr>
        <w:rFonts w:ascii="Times New" w:hAnsi="Times New" w:cs="Times New"/>
        <w:sz w:val="24"/>
      </w:rPr>
    </w:pPr>
    <w:r>
      <w:rPr>
        <w:rFonts w:cs="Times New" w:ascii="Times New" w:hAnsi="Times New"/>
        <w:sz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994"/>
      <w:numFmt w:val="bullet"/>
      <w:lvlText w:val="-"/>
      <w:lvlJc w:val="start"/>
      <w:pPr>
        <w:tabs>
          <w:tab w:val="num" w:pos="1800"/>
        </w:tabs>
        <w:ind w:start="1800" w:hanging="360"/>
      </w:pPr>
      <w:rPr>
        <w:rFonts w:ascii="CG Times" w:hAnsi="CG Times" w:cs="CG Times" w:hint="default"/>
      </w:rPr>
    </w:lvl>
  </w:abstractNum>
  <w:abstractNum w:abstractNumId="3">
    <w:lvl w:ilvl="0">
      <w:start w:val="1983"/>
      <w:numFmt w:val="bullet"/>
      <w:lvlText w:val="-"/>
      <w:lvlJc w:val="start"/>
      <w:pPr>
        <w:tabs>
          <w:tab w:val="num" w:pos="1800"/>
        </w:tabs>
        <w:ind w:start="1800" w:hanging="360"/>
      </w:pPr>
      <w:rPr>
        <w:rFonts w:ascii="Times New Roman" w:hAnsi="Times New Roman" w:cs="Times New Roman" w:hint="default"/>
      </w:rPr>
    </w:lvl>
  </w:abstractNum>
  <w:abstractNum w:abstractNumId="4">
    <w:lvl w:ilvl="0">
      <w:start w:val="1998"/>
      <w:numFmt w:val="bullet"/>
      <w:lvlText w:val="-"/>
      <w:lvlJc w:val="start"/>
      <w:pPr>
        <w:tabs>
          <w:tab w:val="num" w:pos="1800"/>
        </w:tabs>
        <w:ind w:start="1800" w:hanging="360"/>
      </w:pPr>
      <w:rPr>
        <w:rFonts w:ascii="Times New Roman" w:hAnsi="Times New Roman" w:cs="Times New Roman" w:hint="default"/>
        <w:b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G Times" w:hAnsi="CG Times" w:eastAsia="Times New Roman" w:cs="CG Times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</w:tabs>
      <w:outlineLvl w:val="0"/>
    </w:pPr>
    <w:rPr>
      <w:rFonts w:ascii="Times New" w:hAnsi="Times New" w:cs="Times New"/>
      <w:b/>
    </w:rPr>
  </w:style>
  <w:style w:type="paragraph" w:styleId="Heading4">
    <w:name w:val="heading 4"/>
    <w:basedOn w:val="Normal"/>
    <w:next w:val="BodyText"/>
    <w:qFormat/>
    <w:pPr>
      <w:numPr>
        <w:ilvl w:val="3"/>
        <w:numId w:val="1"/>
      </w:numPr>
      <w:ind w:hanging="0" w:start="360" w:end="0"/>
      <w:outlineLvl w:val="3"/>
    </w:pPr>
    <w:rPr>
      <w:sz w:val="24"/>
      <w:u w:val="single"/>
    </w:rPr>
  </w:style>
  <w:style w:type="paragraph" w:styleId="Heading5">
    <w:name w:val="heading 5"/>
    <w:basedOn w:val="Normal"/>
    <w:next w:val="BodyText"/>
    <w:qFormat/>
    <w:pPr>
      <w:numPr>
        <w:ilvl w:val="4"/>
        <w:numId w:val="1"/>
      </w:numPr>
      <w:ind w:hanging="0" w:start="720" w:end="0"/>
      <w:outlineLvl w:val="4"/>
    </w:pPr>
    <w:rPr>
      <w:b/>
    </w:rPr>
  </w:style>
  <w:style w:type="paragraph" w:styleId="Heading6">
    <w:name w:val="heading 6"/>
    <w:basedOn w:val="Normal"/>
    <w:next w:val="BodyText"/>
    <w:qFormat/>
    <w:pPr>
      <w:numPr>
        <w:ilvl w:val="5"/>
        <w:numId w:val="1"/>
      </w:numPr>
      <w:ind w:hanging="0" w:start="720" w:end="0"/>
      <w:outlineLvl w:val="5"/>
    </w:pPr>
    <w:rPr>
      <w:u w:val="single"/>
    </w:rPr>
  </w:style>
  <w:style w:type="paragraph" w:styleId="Heading7">
    <w:name w:val="heading 7"/>
    <w:basedOn w:val="Normal"/>
    <w:next w:val="BodyText"/>
    <w:qFormat/>
    <w:pPr>
      <w:numPr>
        <w:ilvl w:val="6"/>
        <w:numId w:val="1"/>
      </w:numPr>
      <w:ind w:hanging="0" w:start="720" w:end="0"/>
      <w:outlineLvl w:val="6"/>
    </w:pPr>
    <w:rPr>
      <w:i/>
    </w:rPr>
  </w:style>
  <w:style w:type="paragraph" w:styleId="Heading8">
    <w:name w:val="heading 8"/>
    <w:basedOn w:val="Normal"/>
    <w:next w:val="BodyText"/>
    <w:qFormat/>
    <w:pPr>
      <w:numPr>
        <w:ilvl w:val="7"/>
        <w:numId w:val="1"/>
      </w:numPr>
      <w:ind w:hanging="0" w:start="720" w:end="0"/>
      <w:outlineLvl w:val="7"/>
    </w:pPr>
    <w:rPr>
      <w:i/>
    </w:rPr>
  </w:style>
  <w:style w:type="paragraph" w:styleId="Heading9">
    <w:name w:val="heading 9"/>
    <w:basedOn w:val="Normal"/>
    <w:next w:val="BodyText"/>
    <w:qFormat/>
    <w:pPr>
      <w:numPr>
        <w:ilvl w:val="8"/>
        <w:numId w:val="1"/>
      </w:numPr>
      <w:ind w:hanging="0" w:start="720" w:end="0"/>
      <w:outlineLvl w:val="8"/>
    </w:pPr>
    <w:rPr>
      <w:i/>
    </w:rPr>
  </w:style>
  <w:style w:type="character" w:styleId="WW8Num1z0">
    <w:name w:val="WW8Num1z0"/>
    <w:qFormat/>
    <w:rPr>
      <w:rFonts w:ascii="CG Times" w:hAnsi="CG Times" w:cs="CG Times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3z0">
    <w:name w:val="WW8Num3z0"/>
    <w:qFormat/>
    <w:rPr>
      <w:rFonts w:ascii="Times New Roman" w:hAnsi="Times New Roman" w:cs="Times New Roman"/>
      <w:b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sz w:val="16"/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noteText">
    <w:name w:val="footnote text"/>
    <w:basedOn w:val="Normal"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1998-09-21T08:40:00Z</dcterms:created>
  <dc:creator>EI</dc:creator>
  <dc:description/>
  <dc:language>en-CA</dc:language>
  <cp:lastModifiedBy>Enron South America</cp:lastModifiedBy>
  <dcterms:modified xsi:type="dcterms:W3CDTF">2000-09-25T19:15:00Z</dcterms:modified>
  <cp:revision>55</cp:revision>
  <dc:subject>	</dc:subject>
  <dc:title>400 E</dc:title>
</cp:coreProperties>
</file>