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lang w:val="en-CA"/>
        </w:rPr>
      </w:pPr>
      <w:r>
        <w:rPr>
          <w:lang w:val="en-CA"/>
        </w:rPr>
        <w:t>ALLEN &amp; OVERY</w:t>
      </w:r>
    </w:p>
    <w:p>
      <w:pPr>
        <w:pStyle w:val="Heading"/>
        <w:rPr>
          <w:lang w:val="en-CA"/>
        </w:rPr>
      </w:pPr>
      <w:r>
        <w:rPr>
          <w:lang w:val="en-CA"/>
        </w:rPr>
      </w:r>
    </w:p>
    <w:p>
      <w:pPr>
        <w:pStyle w:val="Subtitle"/>
        <w:rPr/>
      </w:pPr>
      <w:r>
        <w:rPr/>
        <w:t>MEMORANDUM</w:t>
      </w:r>
    </w:p>
    <w:p>
      <w:pPr>
        <w:pStyle w:val="Normal"/>
        <w:tabs>
          <w:tab w:val="clear" w:pos="720"/>
          <w:tab w:val="left" w:pos="5670" w:leader="none"/>
        </w:tabs>
        <w:rPr/>
      </w:pPr>
      <w:r>
        <w:rPr/>
      </w:r>
      <w:bookmarkStart w:id="0" w:name="Status"/>
      <w:bookmarkStart w:id="1" w:name="Status"/>
      <w:bookmarkEnd w:id="1"/>
    </w:p>
    <w:tbl>
      <w:tblPr>
        <w:tblW w:w="9244" w:type="dxa"/>
        <w:jc w:val="start"/>
        <w:tblInd w:w="0" w:type="dxa"/>
        <w:tblLayout w:type="fixed"/>
        <w:tblCellMar>
          <w:top w:w="0" w:type="dxa"/>
          <w:start w:w="108" w:type="dxa"/>
          <w:bottom w:w="0" w:type="dxa"/>
          <w:end w:w="108" w:type="dxa"/>
        </w:tblCellMar>
      </w:tblPr>
      <w:tblGrid>
        <w:gridCol w:w="1368"/>
        <w:gridCol w:w="7876"/>
      </w:tblGrid>
      <w:tr>
        <w:trPr/>
        <w:tc>
          <w:tcPr>
            <w:tcW w:w="1368" w:type="dxa"/>
            <w:tcBorders/>
          </w:tcPr>
          <w:p>
            <w:pPr>
              <w:pStyle w:val="Normal"/>
              <w:tabs>
                <w:tab w:val="clear" w:pos="720"/>
                <w:tab w:val="right" w:pos="8931" w:leader="none"/>
              </w:tabs>
              <w:rPr/>
            </w:pPr>
            <w:r>
              <w:rPr/>
              <w:t>To:</w:t>
            </w:r>
          </w:p>
        </w:tc>
        <w:tc>
          <w:tcPr>
            <w:tcW w:w="7876" w:type="dxa"/>
            <w:tcBorders/>
          </w:tcPr>
          <w:p>
            <w:pPr>
              <w:pStyle w:val="Normal"/>
              <w:tabs>
                <w:tab w:val="clear" w:pos="720"/>
                <w:tab w:val="right" w:pos="8931" w:leader="none"/>
              </w:tabs>
              <w:rPr/>
            </w:pPr>
            <w:bookmarkStart w:id="2" w:name="To"/>
            <w:bookmarkEnd w:id="2"/>
            <w:r>
              <w:rPr/>
              <w:t>Members of ISDA</w:t>
            </w:r>
          </w:p>
        </w:tc>
      </w:tr>
      <w:tr>
        <w:trPr/>
        <w:tc>
          <w:tcPr>
            <w:tcW w:w="1368" w:type="dxa"/>
            <w:tcBorders/>
          </w:tcPr>
          <w:p>
            <w:pPr>
              <w:pStyle w:val="Normal"/>
              <w:tabs>
                <w:tab w:val="clear" w:pos="720"/>
                <w:tab w:val="right" w:pos="8931" w:leader="none"/>
              </w:tabs>
              <w:snapToGrid w:val="false"/>
              <w:rPr/>
            </w:pPr>
            <w:r>
              <w:rPr/>
            </w:r>
            <w:bookmarkStart w:id="3" w:name="Copy"/>
            <w:bookmarkStart w:id="4" w:name="Copy"/>
            <w:bookmarkEnd w:id="4"/>
          </w:p>
        </w:tc>
        <w:tc>
          <w:tcPr>
            <w:tcW w:w="7876" w:type="dxa"/>
            <w:tcBorders/>
          </w:tcPr>
          <w:p>
            <w:pPr>
              <w:pStyle w:val="Normal"/>
              <w:tabs>
                <w:tab w:val="clear" w:pos="720"/>
                <w:tab w:val="right" w:pos="8931" w:leader="none"/>
              </w:tabs>
              <w:snapToGrid w:val="false"/>
              <w:rPr/>
            </w:pPr>
            <w:r>
              <w:rPr/>
            </w:r>
          </w:p>
        </w:tc>
      </w:tr>
      <w:tr>
        <w:trPr/>
        <w:tc>
          <w:tcPr>
            <w:tcW w:w="1368" w:type="dxa"/>
            <w:tcBorders/>
          </w:tcPr>
          <w:p>
            <w:pPr>
              <w:pStyle w:val="Normal"/>
              <w:tabs>
                <w:tab w:val="clear" w:pos="720"/>
                <w:tab w:val="right" w:pos="8931" w:leader="none"/>
              </w:tabs>
              <w:rPr/>
            </w:pPr>
            <w:r>
              <w:rPr/>
              <w:t>Date:</w:t>
            </w:r>
          </w:p>
        </w:tc>
        <w:tc>
          <w:tcPr>
            <w:tcW w:w="7876" w:type="dxa"/>
            <w:tcBorders/>
          </w:tcPr>
          <w:p>
            <w:pPr>
              <w:pStyle w:val="Normal"/>
              <w:tabs>
                <w:tab w:val="clear" w:pos="720"/>
                <w:tab w:val="right" w:pos="8931" w:leader="none"/>
              </w:tabs>
              <w:rPr/>
            </w:pPr>
            <w:bookmarkStart w:id="5" w:name="Date"/>
            <w:bookmarkEnd w:id="5"/>
            <w:r>
              <w:rPr/>
              <w:t>14th April, 2000</w:t>
            </w:r>
          </w:p>
        </w:tc>
      </w:tr>
      <w:tr>
        <w:trPr/>
        <w:tc>
          <w:tcPr>
            <w:tcW w:w="1368" w:type="dxa"/>
            <w:tcBorders/>
          </w:tcPr>
          <w:p>
            <w:pPr>
              <w:pStyle w:val="Normal"/>
              <w:tabs>
                <w:tab w:val="clear" w:pos="720"/>
                <w:tab w:val="right" w:pos="8931" w:leader="none"/>
              </w:tabs>
              <w:snapToGrid w:val="false"/>
              <w:rPr/>
            </w:pPr>
            <w:r>
              <w:rPr/>
            </w:r>
          </w:p>
        </w:tc>
        <w:tc>
          <w:tcPr>
            <w:tcW w:w="7876" w:type="dxa"/>
            <w:tcBorders/>
          </w:tcPr>
          <w:p>
            <w:pPr>
              <w:pStyle w:val="Normal"/>
              <w:tabs>
                <w:tab w:val="clear" w:pos="720"/>
                <w:tab w:val="left" w:pos="7660" w:leader="none"/>
                <w:tab w:val="right" w:pos="8931" w:leader="none"/>
              </w:tabs>
              <w:snapToGrid w:val="false"/>
              <w:rPr/>
            </w:pPr>
            <w:r>
              <w:rPr/>
            </w:r>
          </w:p>
        </w:tc>
      </w:tr>
      <w:tr>
        <w:trPr/>
        <w:tc>
          <w:tcPr>
            <w:tcW w:w="1368" w:type="dxa"/>
            <w:tcBorders/>
          </w:tcPr>
          <w:p>
            <w:pPr>
              <w:pStyle w:val="Normal"/>
              <w:tabs>
                <w:tab w:val="clear" w:pos="720"/>
                <w:tab w:val="right" w:pos="8931" w:leader="none"/>
              </w:tabs>
              <w:rPr/>
            </w:pPr>
            <w:r>
              <w:rPr/>
              <w:t>Subject:</w:t>
            </w:r>
          </w:p>
        </w:tc>
        <w:tc>
          <w:tcPr>
            <w:tcW w:w="7876" w:type="dxa"/>
            <w:tcBorders/>
          </w:tcPr>
          <w:p>
            <w:pPr>
              <w:pStyle w:val="Normal"/>
              <w:tabs>
                <w:tab w:val="clear" w:pos="720"/>
                <w:tab w:val="right" w:pos="8931" w:leader="none"/>
              </w:tabs>
              <w:jc w:val="start"/>
              <w:rPr>
                <w:b/>
              </w:rPr>
            </w:pPr>
            <w:bookmarkStart w:id="6" w:name="Subject"/>
            <w:bookmarkEnd w:id="6"/>
            <w:r>
              <w:rPr>
                <w:i/>
              </w:rPr>
              <w:t>Peregrine Fixed Income Limited (in liquidation) -v- Robinson Department Store Public Company Limited</w:t>
            </w:r>
          </w:p>
        </w:tc>
      </w:tr>
    </w:tbl>
    <w:p>
      <w:pPr>
        <w:pStyle w:val="Normal"/>
        <w:pBdr>
          <w:bottom w:val="single" w:sz="6" w:space="1" w:color="000000"/>
        </w:pBdr>
        <w:tabs>
          <w:tab w:val="clear" w:pos="720"/>
          <w:tab w:val="right" w:pos="9000" w:leader="none"/>
        </w:tabs>
        <w:rPr>
          <w:sz w:val="16"/>
        </w:rPr>
      </w:pPr>
      <w:r>
        <w:rPr>
          <w:sz w:val="16"/>
        </w:rPr>
        <w:tab/>
      </w:r>
      <w:bookmarkStart w:id="7" w:name="DocRef"/>
      <w:bookmarkEnd w:id="7"/>
      <w:r>
        <w:rPr>
          <w:sz w:val="16"/>
        </w:rPr>
        <w:t>ICM:419443.2</w:t>
      </w:r>
    </w:p>
    <w:p>
      <w:pPr>
        <w:pStyle w:val="Normal"/>
        <w:rPr>
          <w:sz w:val="16"/>
        </w:rPr>
      </w:pPr>
      <w:r>
        <w:rPr>
          <w:sz w:val="16"/>
        </w:rPr>
      </w:r>
      <w:bookmarkStart w:id="8" w:name="NoteBody"/>
      <w:bookmarkStart w:id="9" w:name="NoteBody"/>
      <w:bookmarkEnd w:id="9"/>
    </w:p>
    <w:p>
      <w:pPr>
        <w:pStyle w:val="Normal"/>
        <w:rPr/>
      </w:pPr>
      <w:r>
        <w:rPr/>
        <w:t>The above case was presented to Mr. Justice Moore-Bick (but not decided) at the High Court in London on 6th April.  In the papers filed with the court, the case was portrayed as being a test case for Peregrine Fixed Income Limited ("Peregrine"), which is currently in liquidation.  Peregrine hopes to obtain a ruling that it can apply in proceedings with other creditors that are parties to ISDA Master Agreements with Peregrine.</w:t>
      </w:r>
    </w:p>
    <w:p>
      <w:pPr>
        <w:pStyle w:val="Normal"/>
        <w:rPr/>
      </w:pPr>
      <w:r>
        <w:rPr/>
      </w:r>
    </w:p>
    <w:p>
      <w:pPr>
        <w:pStyle w:val="Normal"/>
        <w:rPr/>
      </w:pPr>
      <w:r>
        <w:rPr/>
        <w:t>We are circulating this note because we wanted to let members know that the court is considering some important aspects of the valuation and close-out mechanics of the 1992 ISDA Master Agreement.  We ask readers to bear in mind that this note has been prepared by Allen &amp; Overy, based on handwritten notes taken during the hearing.</w:t>
      </w:r>
    </w:p>
    <w:p>
      <w:pPr>
        <w:pStyle w:val="Normal"/>
        <w:rPr/>
      </w:pPr>
      <w:r>
        <w:rPr/>
      </w:r>
    </w:p>
    <w:p>
      <w:pPr>
        <w:pStyle w:val="Normal"/>
        <w:rPr/>
      </w:pPr>
      <w:r>
        <w:rPr/>
        <w:t>The background to the case is that Peregrine and Robinson Department Store Public Company Limited ("Robinson"), a company incorporated in Thailand, had entered into a 1992 ISDA Master Agreement (the "Agreement") governed by English law, in which Market Quotation was elected as the payment measure, Second Method was elected as the payment method and Automatic Early Termination was specified to be applicable to both parties.  With one transaction outstanding, Peregrine defaulted under Section 5(a)(vii)(6) and an Early Termination Date was automatically designated on 15th January, 1998.  Subsequent to the designation of the Early Termination Date, Robinson itself entered a court sanctioned restructuring.</w:t>
      </w:r>
    </w:p>
    <w:p>
      <w:pPr>
        <w:pStyle w:val="Normal"/>
        <w:rPr/>
      </w:pPr>
      <w:r>
        <w:rPr/>
      </w:r>
    </w:p>
    <w:p>
      <w:pPr>
        <w:pStyle w:val="Normal"/>
        <w:rPr/>
      </w:pPr>
      <w:r>
        <w:rPr/>
        <w:t>The full details of the transaction were not revealed to the judge, but it was accepted that at the time of designation of the Early Termination Date, Peregrine did not have any remaining payment obligations.  Robinson, on the other hand, was conditionally obliged (i.e., subject to Section 2(a)(iii) of the Agreement) to make 25 annual payments of a fixed amount.  It was accepted that the transaction was highly unusual and not the kind of transaction for which the Agreement was designed.</w:t>
      </w:r>
    </w:p>
    <w:p>
      <w:pPr>
        <w:pStyle w:val="Normal"/>
        <w:rPr/>
      </w:pPr>
      <w:r>
        <w:rPr/>
      </w:r>
    </w:p>
    <w:p>
      <w:pPr>
        <w:pStyle w:val="Normal"/>
        <w:rPr/>
      </w:pPr>
      <w:r>
        <w:rPr/>
        <w:t>Upon designation of the Early Termination Date, it was for Robinson (as the Non-defaulting Party) to determine a Market Quotation.  In fact, it emerged in court that Robinson did not seek quotations from Reference Market-makers until December 1999 (at some stage, both Peregrine and Robinson also calculated a figure for damages using Loss).  At that time, Robinson approached Reference Market-makers, and obtained three quotations.  As Robinson was out-of-the-money at the Early Termination Date, the quotations obtained from the Reference Market-makers were for the amount that each of them would have paid to Robinson at the Early Termination Date in consideration of entering into a Replacement Transaction with Robinson (i.e., in consideration of the expectation of receiving the stream of 25 annual payments from Robinson).  It was agreed (at some stage) that the "discounted present value" of the future payments was around $87m.  However, the three quotations obtained by Robinson were (roughly) $750,000, $9.5m and $25.5m.  Taking the middle quotation, Robinson therefore determined a Market Quotation of $9.5m.  As Second Method was specified to be applicable, this was an amount that was due from Robinson to Peregrine, even though Peregrine was the Defaulting Party.</w:t>
      </w:r>
    </w:p>
    <w:p>
      <w:pPr>
        <w:pStyle w:val="Normal"/>
        <w:rPr/>
      </w:pPr>
      <w:r>
        <w:rPr/>
      </w:r>
    </w:p>
    <w:p>
      <w:pPr>
        <w:pStyle w:val="Normal"/>
        <w:rPr/>
      </w:pPr>
      <w:r>
        <w:rPr/>
        <w:t xml:space="preserve">The case before the court centres on Peregrine's contention that applying Market Quotation in this case would not produce a commercially reasonable result because it is for a far lower amount than the discounted present value of the future payments under the swap.  Accordingly, Peregrine contends that Robinson should have calculated its damages using Loss. </w:t>
      </w:r>
    </w:p>
    <w:p>
      <w:pPr>
        <w:pStyle w:val="Normal"/>
        <w:rPr/>
      </w:pPr>
      <w:r>
        <w:rPr/>
      </w:r>
    </w:p>
    <w:p>
      <w:pPr>
        <w:pStyle w:val="Normal"/>
        <w:rPr/>
      </w:pPr>
      <w:r>
        <w:rPr/>
        <w:t>The main questions for the court are:</w:t>
      </w:r>
    </w:p>
    <w:p>
      <w:pPr>
        <w:pStyle w:val="Normal"/>
        <w:rPr/>
      </w:pPr>
      <w:r>
        <w:rPr/>
      </w:r>
    </w:p>
    <w:p>
      <w:pPr>
        <w:pStyle w:val="Normal"/>
        <w:numPr>
          <w:ilvl w:val="0"/>
          <w:numId w:val="5"/>
        </w:numPr>
        <w:rPr/>
      </w:pPr>
      <w:r>
        <w:rPr/>
        <w:t>Can a Defaulting Party challenge the Non-defaulting Party's determination of a Market Quotation on the basis that it would produce a commercially unreasonable result?</w:t>
      </w:r>
    </w:p>
    <w:p>
      <w:pPr>
        <w:pStyle w:val="Normal"/>
        <w:rPr/>
      </w:pPr>
      <w:r>
        <w:rPr/>
      </w:r>
    </w:p>
    <w:p>
      <w:pPr>
        <w:pStyle w:val="Normal"/>
        <w:numPr>
          <w:ilvl w:val="0"/>
          <w:numId w:val="3"/>
        </w:numPr>
        <w:rPr/>
      </w:pPr>
      <w:r>
        <w:rPr/>
        <w:t>If so, does the Market Quotation calculated in this case in fact produce a commercially unreasonable result?</w:t>
      </w:r>
    </w:p>
    <w:p>
      <w:pPr>
        <w:pStyle w:val="Normal"/>
        <w:rPr/>
      </w:pPr>
      <w:r>
        <w:rPr/>
      </w:r>
    </w:p>
    <w:p>
      <w:pPr>
        <w:pStyle w:val="Normal"/>
        <w:numPr>
          <w:ilvl w:val="0"/>
          <w:numId w:val="1"/>
        </w:numPr>
        <w:rPr/>
      </w:pPr>
      <w:r>
        <w:rPr/>
        <w:t>In calculating Loss, if Loss is the relevant measure of damages, is the creditworthiness of the Non-defaulting Party a relevant factor?</w:t>
      </w:r>
    </w:p>
    <w:p>
      <w:pPr>
        <w:pStyle w:val="Normal"/>
        <w:rPr/>
      </w:pPr>
      <w:r>
        <w:rPr/>
      </w:r>
    </w:p>
    <w:p>
      <w:pPr>
        <w:pStyle w:val="Normal"/>
        <w:rPr/>
      </w:pPr>
      <w:r>
        <w:rPr/>
        <w:t xml:space="preserve">An issue that initially appeared to be disputed (whether the creditworthiness of the Non-defaulting Party is relevant to the calculation of Market Quotation) seemed ultimately to be conceded by Peregrine in court.  The words "taking into account any existing Credit Support Document" seemed to lead both parties to the conclusion that the Non-defaulting Party's credit could and should be taken into account by the Reference Market-makers. </w:t>
      </w:r>
    </w:p>
    <w:p>
      <w:pPr>
        <w:pStyle w:val="Normal"/>
        <w:rPr/>
      </w:pPr>
      <w:r>
        <w:rPr/>
      </w:r>
    </w:p>
    <w:p>
      <w:pPr>
        <w:pStyle w:val="Normal"/>
        <w:rPr/>
      </w:pPr>
      <w:r>
        <w:rPr/>
        <w:t>The arguments presented by leading counsel for each side (Mark Hapgood QC for Peregrine and Iain Milligan QC for Robinson) generally followed skeleton arguments exchanged in advance of the hearing.  On the questions identified above, the arguments were, briefly:</w:t>
      </w:r>
    </w:p>
    <w:p>
      <w:pPr>
        <w:pStyle w:val="Normal"/>
        <w:rPr/>
      </w:pPr>
      <w:r>
        <w:rPr/>
      </w:r>
    </w:p>
    <w:p>
      <w:pPr>
        <w:pStyle w:val="Normal"/>
        <w:numPr>
          <w:ilvl w:val="0"/>
          <w:numId w:val="6"/>
        </w:numPr>
        <w:rPr/>
      </w:pPr>
      <w:r>
        <w:rPr/>
        <w:t>Counsel for Peregrine contended that it should always be open to a Defaulting Party to challenge a Market Quotation.  Counsel for Robinson contended, on the other hand, that if a Non-defaulting Party can and does obtain quotations, they would be for the prices at which the Reference Market-makers would be willing to enter into an actual transaction with the Non-defaulting Party (even though the quotations in this case were obtained nearly two years after the Early Termination Date).  On that basis, counsel contended that such quotations are necessarily commercially reasonable and can not be second-guessed by the Defaulting Party or by the court.</w:t>
      </w:r>
    </w:p>
    <w:p>
      <w:pPr>
        <w:pStyle w:val="Normal"/>
        <w:rPr/>
      </w:pPr>
      <w:r>
        <w:rPr/>
      </w:r>
    </w:p>
    <w:p>
      <w:pPr>
        <w:pStyle w:val="Normal"/>
        <w:ind w:start="360" w:end="0"/>
        <w:rPr/>
      </w:pPr>
      <w:r>
        <w:rPr/>
        <w:t>There was some debate about the meaning of the words, in the second limb of the definition of Settlement Amount, "or would not (in the reasonable belief of the party making the determination) produce a commercially reasonable result".  Counsel for Peregrine contended that these words envisaged that there were circumstances where a Market Quotation would produce a commercially unreasonable result.  Counsel for Robinson contended that this provision was intended to allow the Non-defaulting Party, in certain circumstances, to calculate its Loss without having to try to obtain quotations in the market (e.g., where rate screens are down, where there is market illiquidity, where the product is proprietary or where there are, perhaps, fewer than four dominant players in the market, and one of them is a party to the relevant transaction).  However, having sought quotations, and provided the relevant number were given (and were genuine quotations to deal), the result could not be rejected or questioned even by the Non-defaulting Party.</w:t>
      </w:r>
    </w:p>
    <w:p>
      <w:pPr>
        <w:pStyle w:val="Normal"/>
        <w:rPr/>
      </w:pPr>
      <w:r>
        <w:rPr/>
      </w:r>
    </w:p>
    <w:p>
      <w:pPr>
        <w:pStyle w:val="Normal"/>
        <w:numPr>
          <w:ilvl w:val="0"/>
          <w:numId w:val="6"/>
        </w:numPr>
        <w:rPr/>
      </w:pPr>
      <w:r>
        <w:rPr/>
        <w:t xml:space="preserve">The suggestion from counsel for Peregrine was that the Market Quotation calculated by Robinson was so much lower than the discounted present value of the "right" to receive the stream of 25 annual payments that it could not possibly be considered commercially reasonable.  Counsel further relied on the fact that there was great disparity between the three quotations obtained from the Reference Market-makers.  Counsel's contention was that there was some kind of "bracket" within which quotations must lie if they are to be considered commercially reasonable and, without suggesting what the bracket was (when asked by the judge), that the quotations in this case were clearly outside it.  Counsel also pointed to the great disparity between the amount of Loss calculated by Peregrine and the Market Quotation amount.  Counsel seemed to suggest that the Non-defaulting Party is required to calculate both a Market Quotation and its Loss to determine whether the Market Quotation is reasonable.  </w:t>
      </w:r>
    </w:p>
    <w:p>
      <w:pPr>
        <w:pStyle w:val="Normal"/>
        <w:rPr/>
      </w:pPr>
      <w:r>
        <w:rPr/>
      </w:r>
    </w:p>
    <w:p>
      <w:pPr>
        <w:pStyle w:val="Normal"/>
        <w:ind w:start="360" w:end="0"/>
        <w:rPr/>
      </w:pPr>
      <w:r>
        <w:rPr/>
        <w:t>Counsel for Robinson did not refer expressly to Section 6(e)(iv) of the Agreement (parties' agreement that an amount determined under Market Quotation is a reasonable pre-estimate of loss), but he did repeat his view that the quotations were necessarily commercially reasonable.  He contended that there could be any number of good reasons why the Reference Market-makers quoted different amounts (e.g., matters specific to that Reference Market-maker such as its own knowledge of Robinson, its own portfolio position, its own risk limits, etc.).</w:t>
      </w:r>
    </w:p>
    <w:p>
      <w:pPr>
        <w:pStyle w:val="Normal"/>
        <w:rPr/>
      </w:pPr>
      <w:r>
        <w:rPr/>
      </w:r>
    </w:p>
    <w:p>
      <w:pPr>
        <w:pStyle w:val="Normal"/>
        <w:numPr>
          <w:ilvl w:val="0"/>
          <w:numId w:val="4"/>
        </w:numPr>
        <w:rPr/>
      </w:pPr>
      <w:r>
        <w:rPr/>
        <w:t xml:space="preserve">Counsel for Peregrine contended that Robinson's Loss amounted to the "discounted present value of the future payment liabilities", or $87m.  Counsel contended that it was not appropriate to reduce this amount to reflect the creditworthiness of Robinson.  Counsel seemed to contend that, as Peregrine would not be able to recover the full amount from Robinson (Robinson being in a restructuring), the full $87m should be the amount of Peregrine's </w:t>
      </w:r>
      <w:r>
        <w:rPr>
          <w:i/>
        </w:rPr>
        <w:t>claim</w:t>
      </w:r>
      <w:r>
        <w:rPr/>
        <w:t xml:space="preserve"> and, to avoid a "double discount", should not be reduced at this stage to reflect Robinson's creditworthiness.</w:t>
      </w:r>
    </w:p>
    <w:p>
      <w:pPr>
        <w:pStyle w:val="Normal"/>
        <w:rPr/>
      </w:pPr>
      <w:r>
        <w:rPr/>
      </w:r>
    </w:p>
    <w:p>
      <w:pPr>
        <w:pStyle w:val="Normal"/>
        <w:ind w:start="360" w:end="0"/>
        <w:rPr/>
      </w:pPr>
      <w:r>
        <w:rPr/>
        <w:t xml:space="preserve">Counsel for Robinson did not seem to dispute that Robinson's gain amounted to being excused from having to make the 25 annual payments, and that the present value of that obligation, discounted only for time value, was $87m.  There was no real debate on this point even though, as a result of a failed condition (i.e., the Peregrine default), the </w:t>
      </w:r>
      <w:r>
        <w:rPr>
          <w:i/>
        </w:rPr>
        <w:t>contingent</w:t>
      </w:r>
      <w:r>
        <w:rPr/>
        <w:t xml:space="preserve"> future obligation (i.e., to make the 25 annual payments) is, on this approach, replaced by a </w:t>
      </w:r>
      <w:r>
        <w:rPr>
          <w:i/>
        </w:rPr>
        <w:t>current</w:t>
      </w:r>
      <w:r>
        <w:rPr/>
        <w:t xml:space="preserve"> obligation to pay an amount to Peregrine on termination.  Instead, counsel for Robinson sought to argue that, in calculating Robinson's Loss, if Loss were the appropriate measure of damages, Robinson's creditworthiness would be relevant, and the $87m should be reduced (to a figure roughly equivalent to the Market Quotation figure) to reflect the cost of obtaining the funds needed to make payment.  There was considerable discussion on this issue, with counsel for Peregrine contending that Peregrine's claim should not be reduced by a funding cost that was entirely notional (as the cost would not actually be incurred because Robinson was proposing to settle the claim with equity).</w:t>
      </w:r>
    </w:p>
    <w:p>
      <w:pPr>
        <w:pStyle w:val="Normal"/>
        <w:rPr/>
      </w:pPr>
      <w:r>
        <w:rPr/>
      </w:r>
    </w:p>
    <w:p>
      <w:pPr>
        <w:pStyle w:val="Normal"/>
        <w:numPr>
          <w:ilvl w:val="0"/>
          <w:numId w:val="2"/>
        </w:numPr>
        <w:rPr/>
      </w:pPr>
      <w:r>
        <w:rPr/>
        <w:t>During the course of the hearing, counsel for Robinson also contended that the Agreement is concerned with making whole (or measuring the windfall gain of) the Non-defaulting Party, not with compensating the Defaulting Party.  Counsel contended that that is why the Agreement provides for the quotations for purposes of Market Quotation to be obtained by the Non-defaulting Party for an agreement to enter into a replacement transaction with that party.  Counsel for Peregrine partly relied on this to claim that under the Agreement there is a "lack of mutuality".</w:t>
      </w:r>
    </w:p>
    <w:p>
      <w:pPr>
        <w:pStyle w:val="Normal"/>
        <w:rPr/>
      </w:pPr>
      <w:r>
        <w:rPr/>
      </w:r>
    </w:p>
    <w:p>
      <w:pPr>
        <w:pStyle w:val="Normal"/>
        <w:rPr/>
      </w:pPr>
      <w:r>
        <w:rPr/>
        <w:t>The judge commented that the case is complex, and he would take time to consider his judgment.  Although no indication was given in court, we are advised that it might be several weeks before the judgment becomes available.  Neither side advised the judge that a judgment was urgently required.</w:t>
      </w:r>
    </w:p>
    <w:p>
      <w:pPr>
        <w:pStyle w:val="Normal"/>
        <w:rPr/>
      </w:pPr>
      <w:r>
        <w:rPr/>
      </w:r>
    </w:p>
    <w:p>
      <w:pPr>
        <w:pStyle w:val="Normal"/>
        <w:rPr/>
      </w:pPr>
      <w:r>
        <w:rPr/>
        <w:t>A number of arguments additional to those mentioned above were aired in court, and we expect these to be discussed in the judgment.  ISDA will keep members updated.</w:t>
      </w:r>
    </w:p>
    <w:p>
      <w:pPr>
        <w:pStyle w:val="Normal"/>
        <w:rPr/>
      </w:pPr>
      <w:r>
        <w:rPr/>
      </w:r>
    </w:p>
    <w:p>
      <w:pPr>
        <w:pStyle w:val="Normal"/>
        <w:rPr/>
      </w:pPr>
      <w:r>
        <w:rPr/>
      </w:r>
    </w:p>
    <w:p>
      <w:pPr>
        <w:pStyle w:val="Normal"/>
        <w:rPr>
          <w:b/>
        </w:rPr>
      </w:pPr>
      <w:r>
        <w:rPr>
          <w:b/>
        </w:rPr>
        <w:t>Jeffrey Golden</w:t>
      </w:r>
    </w:p>
    <w:p>
      <w:pPr>
        <w:pStyle w:val="Normal"/>
        <w:rPr>
          <w:b/>
        </w:rPr>
      </w:pPr>
      <w:r>
        <w:rPr>
          <w:b/>
        </w:rPr>
        <w:t>John Berry</w:t>
      </w:r>
    </w:p>
    <w:p>
      <w:pPr>
        <w:pStyle w:val="Normal"/>
        <w:rPr>
          <w:b/>
        </w:rPr>
      </w:pPr>
      <w:r>
        <w:rPr>
          <w:b/>
        </w:rPr>
      </w:r>
    </w:p>
    <w:sectPr>
      <w:headerReference w:type="default" r:id="rId2"/>
      <w:headerReference w:type="first" r:id="rId3"/>
      <w:type w:val="nextPage"/>
      <w:pgSz w:w="12240" w:h="15840"/>
      <w:pgMar w:left="1440" w:right="1440" w:gutter="0" w:header="720" w:top="180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pprplGoth BT">
    <w:altName w:val="Arial"/>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1080" w:leader="none"/>
        <w:tab w:val="right" w:pos="8910" w:leader="none"/>
      </w:tabs>
      <w:rPr/>
    </w:pPr>
    <w:r>
      <w:rPr/>
      <w:br/>
      <w:t>Subject:</w:t>
      <w:tab/>
    </w:r>
    <w:r>
      <w:rPr>
        <w:i/>
      </w:rPr>
      <w:t>Peregrine Fixed Income Limited (in liquidation)</w:t>
      <w:tab/>
    </w: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Cancel" w:val="0"/>
    <w:docVar w:name="DocRef" w:val="ICM:419443.2"/>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2"/>
      <w:szCs w:val="20"/>
      <w:lang w:val="en-GB" w:eastAsia="zh-CN" w:bidi="hi-I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CopprplGoth BT;Arial" w:hAnsi="CopprplGoth BT;Arial" w:cs="CopprplGoth BT;Arial"/>
      <w:color w:val="000000"/>
      <w:sz w:val="4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b/>
      <w:color w:val="00000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Note</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2000-04-17T14:30:00Z</dcterms:created>
  <dc:creator>Allen &amp; Overy</dc:creator>
  <dc:description/>
  <dc:language>en-CA</dc:language>
  <cp:lastModifiedBy>Corrinne Greasley</cp:lastModifiedBy>
  <cp:lastPrinted>2000-04-17T09:13:00Z</cp:lastPrinted>
  <dcterms:modified xsi:type="dcterms:W3CDTF">2000-04-17T14:30:00Z</dcterms:modified>
  <cp:revision>2</cp:revision>
  <dc:subject/>
  <dc:title>ALLEN &amp; OVERY</dc:title>
</cp:coreProperties>
</file>