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GoudyOlSt BT" w:hAnsi="GoudyOlSt BT" w:cs="GoudyOlSt BT"/>
          <w:b/>
          <w:bCs/>
          <w:sz w:val="22"/>
          <w:szCs w:val="22"/>
        </w:rPr>
      </w:pPr>
      <w:r>
        <w:rPr>
          <w:rFonts w:cs="GoudyOlSt BT" w:ascii="GoudyOlSt BT" w:hAnsi="GoudyOlSt BT"/>
          <w:b/>
          <w:bCs/>
          <w:vanish w:val="false"/>
          <w:sz w:val="24"/>
        </w:rPr>
        <w:commentReference w:id="0"/>
      </w:r>
    </w:p>
    <w:p>
      <w:pPr>
        <w:pStyle w:val="Normal"/>
        <w:jc w:val="center"/>
        <w:rPr>
          <w:rFonts w:ascii="GoudyOlSt BT" w:hAnsi="GoudyOlSt BT" w:cs="GoudyOlSt BT"/>
          <w:b/>
          <w:bCs/>
          <w:sz w:val="22"/>
          <w:szCs w:val="22"/>
        </w:rPr>
      </w:pPr>
      <w:r>
        <w:rPr>
          <w:rFonts w:cs="GoudyOlSt BT" w:ascii="GoudyOlSt BT" w:hAnsi="GoudyOlSt BT"/>
          <w:b/>
          <w:bCs/>
          <w:sz w:val="22"/>
          <w:szCs w:val="22"/>
        </w:rPr>
        <w:t>ARIZONA DEPARTMENT OF ENVIRONMENTAL QUALITY</w:t>
      </w:r>
    </w:p>
    <w:p>
      <w:pPr>
        <w:pStyle w:val="Normal"/>
        <w:jc w:val="center"/>
        <w:rPr>
          <w:rFonts w:ascii="GoudyOlSt BT" w:hAnsi="GoudyOlSt BT" w:cs="GoudyOlSt BT"/>
          <w:b/>
          <w:bCs/>
          <w:i/>
          <w:i/>
          <w:iCs/>
          <w:sz w:val="28"/>
          <w:szCs w:val="28"/>
        </w:rPr>
      </w:pPr>
      <w:r>
        <w:rPr>
          <w:rFonts w:cs="GoudyOlSt BT" w:ascii="GoudyOlSt BT" w:hAnsi="GoudyOlSt BT"/>
          <w:b/>
          <w:bCs/>
          <w:sz w:val="22"/>
          <w:szCs w:val="22"/>
        </w:rPr>
        <w:t xml:space="preserve">AIR QUALITY CLASS I PERMIT </w:t>
      </w:r>
    </w:p>
    <w:p>
      <w:pPr>
        <w:pStyle w:val="Normal"/>
        <w:jc w:val="center"/>
        <w:rPr>
          <w:rFonts w:ascii="GoudyOlSt BT" w:hAnsi="GoudyOlSt BT" w:cs="GoudyOlSt BT"/>
          <w:b/>
          <w:bCs/>
          <w:i/>
          <w:i/>
          <w:iCs/>
          <w:sz w:val="28"/>
          <w:szCs w:val="28"/>
        </w:rPr>
      </w:pPr>
      <w:r>
        <w:rPr>
          <w:rFonts w:cs="GoudyOlSt BT" w:ascii="GoudyOlSt BT" w:hAnsi="GoudyOlSt BT"/>
          <w:b/>
          <w:bCs/>
          <w:i/>
          <w:iCs/>
          <w:sz w:val="28"/>
          <w:szCs w:val="28"/>
        </w:rPr>
      </w:r>
    </w:p>
    <w:p>
      <w:pPr>
        <w:pStyle w:val="Normal"/>
        <w:jc w:val="center"/>
        <w:rPr>
          <w:rFonts w:ascii="GoudyOlSt BT" w:hAnsi="GoudyOlSt BT" w:cs="GoudyOlSt BT"/>
          <w:b/>
          <w:bCs/>
          <w:sz w:val="22"/>
          <w:szCs w:val="22"/>
        </w:rPr>
      </w:pPr>
      <w:r>
        <w:rPr>
          <w:rFonts w:cs="GoudyOlSt BT" w:ascii="GoudyOlSt BT" w:hAnsi="GoudyOlSt BT"/>
          <w:b/>
          <w:bCs/>
          <w:sz w:val="22"/>
          <w:szCs w:val="22"/>
        </w:rPr>
        <w:t>SIGNIFICANT REVISION NO. 1001601</w:t>
      </w:r>
    </w:p>
    <w:p>
      <w:pPr>
        <w:pStyle w:val="Normal"/>
        <w:jc w:val="center"/>
        <w:rPr>
          <w:rFonts w:ascii="GoudyOlSt BT" w:hAnsi="GoudyOlSt BT" w:cs="GoudyOlSt BT"/>
          <w:b/>
          <w:bCs/>
          <w:sz w:val="22"/>
          <w:szCs w:val="22"/>
        </w:rPr>
      </w:pPr>
      <w:r>
        <w:rPr>
          <w:rFonts w:cs="GoudyOlSt BT" w:ascii="GoudyOlSt BT" w:hAnsi="GoudyOlSt BT"/>
          <w:b/>
          <w:bCs/>
          <w:sz w:val="22"/>
          <w:szCs w:val="22"/>
        </w:rPr>
        <w:t>TO AIR QUALITY CONTROL PERMIT NO. 1000156</w:t>
      </w:r>
    </w:p>
    <w:p>
      <w:pPr>
        <w:pStyle w:val="Normal"/>
        <w:jc w:val="center"/>
        <w:rPr>
          <w:rFonts w:ascii="GoudyOlSt BT" w:hAnsi="GoudyOlSt BT" w:cs="GoudyOlSt BT"/>
          <w:b/>
          <w:bCs/>
          <w:sz w:val="22"/>
          <w:szCs w:val="22"/>
        </w:rPr>
      </w:pPr>
      <w:r>
        <w:rPr>
          <w:rFonts w:cs="GoudyOlSt BT" w:ascii="GoudyOlSt BT" w:hAnsi="GoudyOlSt BT"/>
          <w:b/>
          <w:bCs/>
          <w:sz w:val="22"/>
          <w:szCs w:val="22"/>
        </w:rPr>
        <w:t>For</w:t>
      </w:r>
    </w:p>
    <w:p>
      <w:pPr>
        <w:pStyle w:val="Normal"/>
        <w:jc w:val="center"/>
        <w:rPr>
          <w:rFonts w:ascii="GoudyOlSt BT" w:hAnsi="GoudyOlSt BT" w:cs="GoudyOlSt BT"/>
          <w:b/>
          <w:bCs/>
          <w:sz w:val="22"/>
          <w:szCs w:val="22"/>
        </w:rPr>
      </w:pPr>
      <w:r>
        <w:rPr>
          <w:rFonts w:cs="GoudyOlSt BT" w:ascii="GoudyOlSt BT" w:hAnsi="GoudyOlSt BT"/>
          <w:b/>
          <w:bCs/>
          <w:sz w:val="22"/>
          <w:szCs w:val="22"/>
        </w:rPr>
        <w:t>TRANSWESTERN PIPELINE COMPANY</w:t>
      </w:r>
    </w:p>
    <w:p>
      <w:pPr>
        <w:pStyle w:val="Normal"/>
        <w:jc w:val="center"/>
        <w:rPr>
          <w:rFonts w:ascii="GoudyOlSt BT" w:hAnsi="GoudyOlSt BT" w:cs="GoudyOlSt BT"/>
          <w:b/>
          <w:bCs/>
          <w:sz w:val="22"/>
          <w:szCs w:val="22"/>
        </w:rPr>
      </w:pPr>
      <w:r>
        <w:rPr>
          <w:rFonts w:cs="GoudyOlSt BT" w:ascii="GoudyOlSt BT" w:hAnsi="GoudyOlSt BT"/>
          <w:b/>
          <w:bCs/>
          <w:sz w:val="22"/>
          <w:szCs w:val="22"/>
        </w:rPr>
        <w:t>KINGMAN COMPRESSOR STATION</w:t>
      </w:r>
    </w:p>
    <w:p>
      <w:pPr>
        <w:pStyle w:val="Normal"/>
        <w:jc w:val="center"/>
        <w:rPr>
          <w:rFonts w:ascii="GoudyOlSt BT" w:hAnsi="GoudyOlSt BT" w:cs="GoudyOlSt BT"/>
          <w:b/>
          <w:bCs/>
          <w:sz w:val="22"/>
          <w:szCs w:val="22"/>
        </w:rPr>
      </w:pPr>
      <w:r>
        <w:rPr>
          <w:rFonts w:cs="GoudyOlSt BT" w:ascii="GoudyOlSt BT" w:hAnsi="GoudyOlSt BT"/>
          <w:b/>
          <w:bCs/>
          <w:sz w:val="22"/>
          <w:szCs w:val="22"/>
        </w:rPr>
      </w:r>
    </w:p>
    <w:p>
      <w:pPr>
        <w:pStyle w:val="Normal"/>
        <w:rPr>
          <w:rFonts w:ascii="GoudyOlSt BT" w:hAnsi="GoudyOlSt BT" w:cs="GoudyOlSt BT"/>
          <w:b/>
          <w:bCs/>
          <w:sz w:val="22"/>
          <w:szCs w:val="22"/>
        </w:rPr>
      </w:pPr>
      <w:r>
        <w:rPr>
          <w:rFonts w:cs="GoudyOlSt BT" w:ascii="GoudyOlSt BT" w:hAnsi="GoudyOlSt BT"/>
          <w:b/>
          <w:bCs/>
          <w:sz w:val="22"/>
          <w:szCs w:val="22"/>
        </w:rPr>
      </w:r>
    </w:p>
    <w:p>
      <w:pPr>
        <w:pStyle w:val="Normal"/>
        <w:jc w:val="center"/>
        <w:rPr>
          <w:rFonts w:ascii="GoudyOlSt BT" w:hAnsi="GoudyOlSt BT" w:cs="GoudyOlSt BT"/>
          <w:b/>
          <w:bCs/>
          <w:i/>
          <w:i/>
          <w:iCs/>
          <w:sz w:val="22"/>
          <w:szCs w:val="22"/>
        </w:rPr>
      </w:pPr>
      <w:r>
        <w:rPr>
          <w:rFonts w:cs="GoudyOlSt BT" w:ascii="GoudyOlSt BT" w:hAnsi="GoudyOlSt BT"/>
          <w:b/>
          <w:bCs/>
          <w:sz w:val="22"/>
          <w:szCs w:val="22"/>
        </w:rPr>
        <w:t>SIGNIFICANT REVISION PERMIT DESCRIPTION</w:t>
      </w:r>
    </w:p>
    <w:p>
      <w:pPr>
        <w:pStyle w:val="Normal"/>
        <w:tabs>
          <w:tab w:val="clear" w:pos="720"/>
          <w:tab w:val="right" w:pos="9936" w:leader="none"/>
        </w:tabs>
        <w:rPr>
          <w:rFonts w:ascii="GoudyOlSt BT" w:hAnsi="GoudyOlSt BT" w:cs="GoudyOlSt BT"/>
          <w:b/>
          <w:bCs/>
          <w:sz w:val="28"/>
          <w:szCs w:val="28"/>
        </w:rPr>
      </w:pPr>
      <w:r>
        <w:rPr>
          <w:rFonts w:cs="GoudyOlSt BT" w:ascii="GoudyOlSt BT" w:hAnsi="GoudyOlSt BT"/>
          <w:b/>
          <w:bCs/>
          <w:sz w:val="28"/>
          <w:szCs w:val="28"/>
        </w:rPr>
        <w:tab/>
      </w:r>
    </w:p>
    <w:p>
      <w:pPr>
        <w:pStyle w:val="Normal"/>
        <w:jc w:val="both"/>
        <w:rPr/>
      </w:pPr>
      <w:r>
        <w:rPr>
          <w:rFonts w:cs="GoudyOlSt BT" w:ascii="GoudyOlSt BT" w:hAnsi="GoudyOlSt BT"/>
          <w:sz w:val="22"/>
          <w:szCs w:val="22"/>
        </w:rPr>
        <w:t>This Significant Revision  is issued to the Transwestern Pipeline Company, the Permittee, for the replacement of three reciprocating 4000 hp Ingersoll-Rand 616KVT engines with a single General Electric (GE) LM2500 gas turbine and the replacement of two existing 451 horsepower (hp) Waukesha LRZ3520GU natural gas generator engines with a single 519 hp Caterpillar 3406B diesel generator engine. The GE gas turbine is site rated at 33,526-shaft horse power (shp) at 60</w:t>
      </w:r>
      <w:r>
        <w:rPr>
          <w:rFonts w:cs="GoudyOlSt BT" w:ascii="GoudyOlSt BT" w:hAnsi="GoudyOlSt BT"/>
          <w:sz w:val="22"/>
          <w:szCs w:val="22"/>
          <w:vertAlign w:val="superscript"/>
        </w:rPr>
        <w:t>0</w:t>
      </w:r>
      <w:r>
        <w:rPr>
          <w:rFonts w:cs="GoudyOlSt BT" w:ascii="GoudyOlSt BT" w:hAnsi="GoudyOlSt BT"/>
          <w:sz w:val="22"/>
          <w:szCs w:val="22"/>
        </w:rPr>
        <w:t>F under base load conditions. The Kingman Compressor Station is located 40 miles east of Kingman on Interstate 40 in Mohave County, Arizona. The existing facility is permitted by Title V Permit, 1000156, which was issued on April 16, 1998 and valid until April 16, 2003.</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pPr>
      <w:r>
        <w:rPr>
          <w:sz w:val="22"/>
          <w:szCs w:val="22"/>
        </w:rPr>
        <w:t xml:space="preserve">This facility is an existing major source as defined by the Prevention of Significant Deterioration (PSD) program, Arizona Administrative Code (A.A.C) R18-2-401 </w:t>
      </w:r>
      <w:r>
        <w:rPr>
          <w:i/>
          <w:iCs/>
          <w:sz w:val="22"/>
          <w:szCs w:val="22"/>
        </w:rPr>
        <w:t>et. seq</w:t>
      </w:r>
      <w:r>
        <w:rPr>
          <w:sz w:val="22"/>
          <w:szCs w:val="22"/>
        </w:rPr>
        <w:t xml:space="preserve">. However, it is a </w:t>
      </w:r>
      <w:r>
        <w:rPr>
          <w:rFonts w:cs="WP TypographicSymbols" w:ascii="WP TypographicSymbols" w:hAnsi="WP TypographicSymbols"/>
          <w:sz w:val="22"/>
          <w:szCs w:val="22"/>
        </w:rPr>
        <w:t>A</w:t>
      </w:r>
      <w:r>
        <w:rPr>
          <w:sz w:val="22"/>
          <w:szCs w:val="22"/>
        </w:rPr>
        <w:t>grandfathered source</w:t>
      </w:r>
      <w:r>
        <w:rPr>
          <w:rFonts w:cs="WP TypographicSymbols" w:ascii="WP TypographicSymbols" w:hAnsi="WP TypographicSymbols"/>
          <w:sz w:val="22"/>
          <w:szCs w:val="22"/>
        </w:rPr>
        <w:t>@</w:t>
      </w:r>
      <w:r>
        <w:rPr>
          <w:sz w:val="22"/>
          <w:szCs w:val="22"/>
        </w:rPr>
        <w:t xml:space="preserve"> because the compressor engines were installed in 1966, before the PSD program was established. No changes have been made at the facility since installation. After this revision, PSD will still not be applicable because the emissions from the turbine and generator will be below PSD major source levels.</w:t>
      </w:r>
    </w:p>
    <w:p>
      <w:pPr>
        <w:pStyle w:val="Normal"/>
        <w:jc w:val="both"/>
        <w:rPr>
          <w:sz w:val="22"/>
          <w:szCs w:val="22"/>
        </w:rPr>
      </w:pPr>
      <w:r>
        <w:rPr>
          <w:sz w:val="22"/>
          <w:szCs w:val="22"/>
        </w:rPr>
      </w:r>
    </w:p>
    <w:p>
      <w:pPr>
        <w:pStyle w:val="Normal"/>
        <w:jc w:val="both"/>
        <w:rPr>
          <w:rFonts w:ascii="GoudyOlSt BT" w:hAnsi="GoudyOlSt BT" w:cs="GoudyOlSt BT"/>
          <w:sz w:val="22"/>
          <w:szCs w:val="22"/>
        </w:rPr>
      </w:pPr>
      <w:r>
        <w:rPr>
          <w:sz w:val="22"/>
          <w:szCs w:val="22"/>
        </w:rPr>
        <w:t>The PSD regulations are not applicable to the proposed modification itself because the Permittee has shown that the difference between the emissions from the new equipment and the decrease in emissions from removal of the existing equipment is below the significance levels defined in the Arizona Administrative Code (A.A.C). R18-2-104.a. The project, therefore, qualifies as a Significant Revision according to the provisions of A.A.C.R18-2-320.</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rFonts w:ascii="GoudyOlSt BT" w:hAnsi="GoudyOlSt BT" w:cs="GoudyOlSt BT"/>
          <w:sz w:val="22"/>
          <w:szCs w:val="22"/>
        </w:rPr>
      </w:pPr>
      <w:r>
        <w:rPr>
          <w:rFonts w:cs="GoudyOlSt BT" w:ascii="GoudyOlSt BT" w:hAnsi="GoudyOlSt BT"/>
          <w:i/>
          <w:iCs/>
          <w:sz w:val="22"/>
          <w:szCs w:val="22"/>
        </w:rPr>
        <w:t xml:space="preserve">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below shall replace 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of Permit No. 1000156 because ADEQ has updated the general provisions since the issuance of the Title V permit.</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b/>
          <w:bCs/>
          <w:sz w:val="22"/>
          <w:szCs w:val="22"/>
        </w:rPr>
        <w:t>ATTACHMENT "A": GENERAL PROVISIONS</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b/>
          <w:bCs/>
          <w:vanish/>
          <w:sz w:val="22"/>
          <w:szCs w:val="22"/>
        </w:rPr>
      </w:pPr>
      <w:r>
        <w:rPr>
          <w:rFonts w:cs="GoudyOlSt BT" w:ascii="GoudyOlSt BT" w:hAnsi="GoudyOlSt BT"/>
          <w:b/>
          <w:bCs/>
          <w:vanish/>
          <w:sz w:val="22"/>
          <w:szCs w:val="22"/>
        </w:rPr>
      </w:r>
    </w:p>
    <w:p>
      <w:pPr>
        <w:pStyle w:val="Normal"/>
        <w:jc w:val="center"/>
        <w:rPr>
          <w:b/>
          <w:bCs/>
          <w:sz w:val="22"/>
          <w:szCs w:val="22"/>
        </w:rPr>
      </w:pPr>
      <w:r>
        <w:rPr>
          <w:b/>
          <w:bCs/>
          <w:sz w:val="22"/>
          <w:szCs w:val="22"/>
        </w:rPr>
      </w:r>
    </w:p>
    <w:p>
      <w:pPr>
        <w:sectPr>
          <w:headerReference w:type="default" r:id="rId2"/>
          <w:footerReference w:type="default" r:id="rId3"/>
          <w:type w:val="nextPage"/>
          <w:pgSz w:w="12240" w:h="15840"/>
          <w:pgMar w:left="1152" w:right="1152" w:gutter="0" w:header="1296" w:top="1352" w:footer="1296" w:bottom="1352"/>
          <w:pgNumType w:fmt="decimal"/>
          <w:formProt w:val="false"/>
          <w:textDirection w:val="lrTb"/>
          <w:docGrid w:type="default" w:linePitch="360" w:charSpace="0"/>
        </w:sectPr>
      </w:pPr>
    </w:p>
    <w:p>
      <w:pPr>
        <w:pStyle w:val="Normal"/>
        <w:jc w:val="center"/>
        <w:rPr>
          <w:b/>
          <w:bCs/>
          <w:sz w:val="22"/>
          <w:szCs w:val="22"/>
        </w:rPr>
      </w:pPr>
      <w:r>
        <w:rPr>
          <w:b/>
          <w:bCs/>
          <w:sz w:val="22"/>
          <w:szCs w:val="22"/>
        </w:rPr>
        <w:t>ATTACHMENT "B": SPECIFIC CONDITIONS</w:t>
      </w:r>
      <w:r>
        <w:fldChar w:fldCharType="begin"/>
      </w:r>
      <w:r>
        <w:rPr/>
        <w:instrText xml:space="preserve"> TC "ATTACHMENT " \l 1 </w:instrText>
      </w:r>
      <w:r>
        <w:rPr/>
        <w:fldChar w:fldCharType="separate"/>
      </w:r>
      <w:r>
        <w:rPr/>
      </w:r>
      <w:r>
        <w:rPr/>
        <w:fldChar w:fldCharType="end"/>
      </w:r>
    </w:p>
    <w:p>
      <w:pPr>
        <w:pStyle w:val="Normal"/>
        <w:rPr>
          <w:b/>
          <w:bCs/>
          <w:sz w:val="22"/>
          <w:szCs w:val="22"/>
        </w:rPr>
      </w:pPr>
      <w:r>
        <w:rPr>
          <w:b/>
          <w:bCs/>
          <w:sz w:val="22"/>
          <w:szCs w:val="22"/>
        </w:rPr>
      </w:r>
    </w:p>
    <w:p>
      <w:pPr>
        <w:pStyle w:val="Normal"/>
        <w:rPr>
          <w:sz w:val="22"/>
          <w:szCs w:val="22"/>
        </w:rPr>
      </w:pPr>
      <w:r>
        <w:rPr>
          <w:i/>
          <w:iCs/>
          <w:sz w:val="22"/>
          <w:szCs w:val="22"/>
        </w:rPr>
        <w:t xml:space="preserve">Condition V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1000156</w:t>
      </w:r>
    </w:p>
    <w:p>
      <w:pPr>
        <w:pStyle w:val="Normal"/>
        <w:rPr>
          <w:sz w:val="22"/>
          <w:szCs w:val="22"/>
        </w:rPr>
      </w:pPr>
      <w:r>
        <w:rPr>
          <w:sz w:val="22"/>
          <w:szCs w:val="22"/>
        </w:rPr>
        <w:t xml:space="preserve"> </w:t>
      </w:r>
    </w:p>
    <w:p>
      <w:pPr>
        <w:pStyle w:val="Normal"/>
        <w:tabs>
          <w:tab w:val="left" w:pos="-1440" w:leader="none"/>
          <w:tab w:val="left" w:pos="-720" w:leader="none"/>
          <w:tab w:val="left" w:pos="0" w:leader="none"/>
          <w:tab w:val="left" w:pos="720" w:leader="none"/>
          <w:tab w:val="right" w:pos="9936" w:leader="none"/>
        </w:tabs>
        <w:ind w:hanging="720" w:start="720" w:end="0"/>
        <w:rPr>
          <w:sz w:val="22"/>
          <w:szCs w:val="22"/>
        </w:rPr>
      </w:pPr>
      <w:r>
        <w:rPr>
          <w:b/>
          <w:bCs/>
          <w:sz w:val="22"/>
          <w:szCs w:val="22"/>
        </w:rPr>
        <w:t xml:space="preserve">V. </w:t>
        <w:tab/>
        <w:t xml:space="preserve">Transition Period </w:t>
      </w:r>
      <w:r>
        <w:fldChar w:fldCharType="begin"/>
      </w:r>
      <w:r>
        <w:rPr/>
        <w:instrText xml:space="preserve"> TC "V. </w:instrText>
        <w:tab/>
        <w:instrText xml:space="preserve">Transition Period " \l 2 </w:instrText>
      </w:r>
      <w:r>
        <w:rPr/>
        <w:fldChar w:fldCharType="separate"/>
      </w:r>
      <w:r>
        <w:rPr/>
      </w:r>
      <w:r>
        <w:rPr/>
        <w:fldChar w:fldCharType="end"/>
      </w:r>
      <w:r>
        <w:rPr>
          <w:sz w:val="22"/>
          <w:szCs w:val="22"/>
        </w:rPr>
        <w:tab/>
      </w:r>
      <w:r>
        <w:rPr>
          <w:sz w:val="18"/>
          <w:szCs w:val="18"/>
        </w:rPr>
        <w:t>[A.A.C. R18-2-306.01]</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720" w:end="0"/>
        <w:rPr>
          <w:rFonts w:ascii="GoudyOlSt BT" w:hAnsi="GoudyOlSt BT" w:cs="GoudyOlSt BT"/>
          <w:sz w:val="22"/>
          <w:szCs w:val="22"/>
        </w:rPr>
      </w:pPr>
      <w:r>
        <w:rPr>
          <w:rFonts w:cs="GoudyOlSt BT" w:ascii="GoudyOlSt BT" w:hAnsi="GoudyOlSt BT"/>
          <w:sz w:val="22"/>
          <w:szCs w:val="22"/>
        </w:rPr>
        <w:t>The Permittee shall comply with the following operating scenario after the startup of the General Electric turbine, Unit 104:</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160" w:end="0"/>
        <w:rPr>
          <w:rFonts w:ascii="GoudyOlSt BT" w:hAnsi="GoudyOlSt BT" w:cs="GoudyOlSt BT"/>
          <w:sz w:val="22"/>
          <w:szCs w:val="22"/>
        </w:rPr>
      </w:pPr>
      <w:r>
        <w:rPr>
          <w:rFonts w:cs="GoudyOlSt BT" w:ascii="GoudyOlSt BT" w:hAnsi="GoudyOlSt BT"/>
          <w:sz w:val="22"/>
          <w:szCs w:val="22"/>
        </w:rPr>
        <w:t xml:space="preserve">A. </w:t>
        <w:tab/>
        <w:t>Operating Schedule</w:t>
      </w:r>
    </w:p>
    <w:p>
      <w:pPr>
        <w:pStyle w:val="Normal"/>
        <w:ind w:firstLine="720" w:end="0"/>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1. </w:t>
        <w:tab/>
        <w:t>The transition period for this project shall be six calendar months after the startup of new Unit 104. Within 15-calendar days, the Permittee shall provide written notification to the Director upon startup of Unit 104.</w:t>
      </w:r>
    </w:p>
    <w:p>
      <w:pPr>
        <w:pStyle w:val="Normal"/>
        <w:jc w:val="end"/>
        <w:rPr>
          <w:rFonts w:ascii="GoudyOlSt BT" w:hAnsi="GoudyOlSt BT" w:cs="GoudyOlSt BT"/>
          <w:sz w:val="22"/>
          <w:szCs w:val="22"/>
        </w:rPr>
      </w:pPr>
      <w:r>
        <w:rPr>
          <w:sz w:val="18"/>
          <w:szCs w:val="18"/>
        </w:rPr>
        <w:t>[A.A.C. R18-2-306.A.11]</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2. </w:t>
        <w:tab/>
        <w:t>During the transition period, new Unit 104 shall not be operated concurrently with existing Units P1, P2 or P3.</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3. </w:t>
        <w:tab/>
        <w:t>After the transition period, existing Units P1, P2 and P3 shall be permanently shutdown. The Permittee shall provide a written notification to the Director of the permanent shutdown of the Units.</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9936" w:leader="none"/>
        </w:tabs>
        <w:ind w:hanging="720" w:start="2160" w:end="0"/>
        <w:rPr>
          <w:smallCaps/>
          <w:sz w:val="22"/>
          <w:szCs w:val="22"/>
        </w:rPr>
      </w:pPr>
      <w:r>
        <w:rPr>
          <w:rFonts w:cs="GoudyOlSt BT" w:ascii="GoudyOlSt BT" w:hAnsi="GoudyOlSt BT"/>
          <w:sz w:val="22"/>
          <w:szCs w:val="22"/>
        </w:rPr>
        <w:t xml:space="preserve">B. </w:t>
        <w:tab/>
        <w:t>Operational Limit</w:t>
      </w:r>
      <w:r>
        <w:rPr>
          <w:sz w:val="22"/>
          <w:szCs w:val="22"/>
        </w:rPr>
        <w:tab/>
        <w:tab/>
        <w:t xml:space="preserve">      </w:t>
      </w:r>
      <w:r>
        <w:rPr>
          <w:sz w:val="17"/>
          <w:szCs w:val="17"/>
        </w:rPr>
        <w:t xml:space="preserve"> [A.A.C. R18-2-306.A.2, -306.01, and -331]</w:t>
      </w:r>
    </w:p>
    <w:p>
      <w:pPr>
        <w:pStyle w:val="Normal"/>
        <w:rPr>
          <w:smallCaps/>
          <w:sz w:val="22"/>
          <w:szCs w:val="22"/>
        </w:rPr>
      </w:pPr>
      <w:r>
        <w:rPr>
          <w:smallCaps/>
          <w:sz w:val="22"/>
          <w:szCs w:val="22"/>
        </w:rPr>
      </w:r>
    </w:p>
    <w:p>
      <w:pPr>
        <w:pStyle w:val="Normal"/>
        <w:ind w:start="2160" w:end="0"/>
        <w:rPr>
          <w:sz w:val="22"/>
          <w:szCs w:val="22"/>
        </w:rPr>
      </w:pPr>
      <w:r>
        <w:rPr>
          <w:i/>
          <w:iCs/>
          <w:sz w:val="22"/>
          <w:szCs w:val="22"/>
          <w:u w:val="single"/>
        </w:rPr>
        <w:t>During the transition period, the Permittee shall limit the hours of operation of each of the Units P1, P2 and P3 to 2000 hours.</w:t>
      </w:r>
    </w:p>
    <w:p>
      <w:pPr>
        <w:pStyle w:val="Normal"/>
        <w:tabs>
          <w:tab w:val="clear" w:pos="720"/>
          <w:tab w:val="right" w:pos="9936" w:leader="none"/>
        </w:tabs>
        <w:rPr>
          <w:rFonts w:ascii="GoudyOlSt BT" w:hAnsi="GoudyOlSt BT" w:cs="GoudyOlSt BT"/>
          <w:sz w:val="22"/>
          <w:szCs w:val="22"/>
        </w:rPr>
      </w:pPr>
      <w:r>
        <w:rPr>
          <w:sz w:val="16"/>
          <w:szCs w:val="16"/>
        </w:rPr>
        <w:t xml:space="preserve">          </w:t>
      </w:r>
      <w:r>
        <w:rPr>
          <w:sz w:val="16"/>
          <w:szCs w:val="16"/>
        </w:rPr>
        <w:tab/>
        <w:t xml:space="preserve"> [THIS IS A MATERIAL PERMIT CONDITION]</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right" w:pos="9936" w:leader="none"/>
        </w:tabs>
        <w:ind w:hanging="720" w:start="2160" w:end="0"/>
        <w:rPr/>
      </w:pPr>
      <w:r>
        <w:rPr>
          <w:rFonts w:cs="GoudyOlSt BT" w:ascii="GoudyOlSt BT" w:hAnsi="GoudyOlSt BT"/>
          <w:sz w:val="22"/>
          <w:szCs w:val="22"/>
        </w:rPr>
        <w:t xml:space="preserve">C. </w:t>
        <w:tab/>
        <w:t xml:space="preserve">Recordkeeping </w:t>
      </w:r>
      <w:r>
        <w:rPr>
          <w:sz w:val="17"/>
          <w:szCs w:val="17"/>
        </w:rPr>
        <w:tab/>
        <w:t>[A.A.C.R18-2-306.A.3.b</w:t>
      </w:r>
      <w:r>
        <w:rPr>
          <w:rFonts w:cs="GoudyOlSt BT" w:ascii="GoudyOlSt BT" w:hAnsi="GoudyOlSt BT"/>
          <w:sz w:val="22"/>
          <w:szCs w:val="22"/>
        </w:rPr>
        <w:t>]</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2160" w:end="0"/>
        <w:rPr>
          <w:rFonts w:ascii="GoudyOlSt BT" w:hAnsi="GoudyOlSt BT" w:cs="GoudyOlSt BT"/>
          <w:sz w:val="22"/>
          <w:szCs w:val="22"/>
        </w:rPr>
      </w:pPr>
      <w:r>
        <w:rPr>
          <w:rFonts w:cs="GoudyOlSt BT" w:ascii="GoudyOlSt BT" w:hAnsi="GoudyOlSt BT"/>
          <w:sz w:val="22"/>
          <w:szCs w:val="22"/>
        </w:rPr>
        <w:t>During the transition period, the Permittee shall maintain logs of daily operating hours for the existing Units P1, P2 and P3.</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rPr>
          <w:sz w:val="22"/>
          <w:szCs w:val="22"/>
        </w:rPr>
      </w:pPr>
      <w:r>
        <w:rPr>
          <w:i/>
          <w:iCs/>
          <w:sz w:val="22"/>
          <w:szCs w:val="22"/>
        </w:rPr>
        <w:t xml:space="preserve">Condition VI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1000156</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720" w:end="0"/>
        <w:rPr/>
      </w:pPr>
      <w:r>
        <w:rPr>
          <w:b/>
          <w:bCs/>
          <w:sz w:val="22"/>
          <w:szCs w:val="22"/>
        </w:rPr>
        <w:t>VI.</w:t>
      </w:r>
      <w:r>
        <w:rPr>
          <w:sz w:val="22"/>
          <w:szCs w:val="22"/>
        </w:rPr>
        <w:t xml:space="preserve"> </w:t>
      </w:r>
      <w:r>
        <w:rPr>
          <w:b/>
          <w:bCs/>
          <w:sz w:val="22"/>
          <w:szCs w:val="22"/>
        </w:rPr>
        <w:tab/>
        <w:t>GE LM2500 Gas Turbine</w:t>
      </w:r>
      <w:r>
        <w:fldChar w:fldCharType="begin"/>
      </w:r>
      <w:r>
        <w:rPr/>
        <w:instrText xml:space="preserve"> TC "VI. </w:instrText>
        <w:tab/>
        <w:instrText xml:space="preserve">GE LM2500 Gas Turbine" \l 2 </w:instrText>
      </w:r>
      <w:r>
        <w:rPr/>
        <w:fldChar w:fldCharType="separate"/>
      </w:r>
      <w:r>
        <w:rPr/>
      </w:r>
      <w:r>
        <w:rPr/>
        <w:fldChar w:fldCharType="end"/>
      </w:r>
      <w:r>
        <w:rPr>
          <w:b/>
          <w:bCs/>
          <w:sz w:val="22"/>
          <w:szCs w:val="22"/>
        </w:rPr>
        <w:t>, Unit 104</w:t>
      </w:r>
    </w:p>
    <w:p>
      <w:pPr>
        <w:pStyle w:val="Normal"/>
        <w:tabs>
          <w:tab w:val="clear" w:pos="720"/>
          <w:tab w:val="left" w:pos="0" w:leader="none"/>
        </w:tabs>
        <w:rPr>
          <w:b/>
          <w:bCs/>
          <w:sz w:val="22"/>
          <w:szCs w:val="22"/>
        </w:rPr>
      </w:pPr>
      <w:r>
        <w:rPr>
          <w:b/>
          <w:bCs/>
          <w:sz w:val="22"/>
          <w:szCs w:val="22"/>
        </w:rPr>
      </w:r>
    </w:p>
    <w:p>
      <w:pPr>
        <w:pStyle w:val="Normal"/>
        <w:tabs>
          <w:tab w:val="clear" w:pos="720"/>
          <w:tab w:val="left" w:pos="0" w:leader="none"/>
        </w:tabs>
        <w:ind w:hanging="720" w:start="1440" w:end="0"/>
        <w:rPr>
          <w:sz w:val="22"/>
          <w:szCs w:val="22"/>
        </w:rPr>
      </w:pPr>
      <w:r>
        <w:rPr>
          <w:sz w:val="22"/>
          <w:szCs w:val="22"/>
        </w:rPr>
        <w:t xml:space="preserve">A. </w:t>
        <w:tab/>
        <w:t>Nitrogen Oxide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1. </w:t>
        <w:tab/>
        <w:t>Emission Limitations/Standards</w:t>
        <w:tab/>
      </w:r>
      <w:r>
        <w:rPr>
          <w:sz w:val="18"/>
          <w:szCs w:val="18"/>
        </w:rPr>
        <w:t xml:space="preserve">[40 CFR </w:t>
      </w:r>
      <w:r>
        <w:rPr>
          <w:rFonts w:cs="WP TypographicSymbols" w:ascii="WP TypographicSymbols" w:hAnsi="WP TypographicSymbols"/>
          <w:sz w:val="18"/>
          <w:szCs w:val="18"/>
        </w:rPr>
        <w:t>'</w:t>
      </w:r>
      <w:r>
        <w:rPr>
          <w:sz w:val="18"/>
          <w:szCs w:val="18"/>
        </w:rPr>
        <w:t>60.332]</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sz w:val="22"/>
          <w:szCs w:val="22"/>
        </w:rPr>
      </w:pPr>
      <w:r>
        <w:rPr>
          <w:sz w:val="22"/>
          <w:szCs w:val="22"/>
        </w:rPr>
        <w:t xml:space="preserve">a. </w:t>
        <w:tab/>
        <w:t>The Permittee shall not cause to be discharged into the atmosphere from the stack of any turbine, any gases which contain NOx in excess of that calculated from the following equation:</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firstLine="2880" w:end="0"/>
        <w:rPr/>
      </w:pPr>
      <w:r>
        <w:rPr>
          <w:sz w:val="22"/>
          <w:szCs w:val="22"/>
        </w:rPr>
        <w:t xml:space="preserve">STD =  0.0075   </w:t>
      </w:r>
      <w:r>
        <w:rPr>
          <w:sz w:val="22"/>
          <w:szCs w:val="22"/>
          <w:u w:val="single"/>
        </w:rPr>
        <w:t xml:space="preserve"> (14.4) </w:t>
      </w:r>
      <w:r>
        <w:rPr>
          <w:sz w:val="22"/>
          <w:szCs w:val="22"/>
        </w:rPr>
        <w:t xml:space="preserve">   +  F</w:t>
      </w:r>
    </w:p>
    <w:p>
      <w:pPr>
        <w:pStyle w:val="Normal"/>
        <w:tabs>
          <w:tab w:val="clear" w:pos="720"/>
          <w:tab w:val="left" w:pos="0" w:leader="none"/>
        </w:tabs>
        <w:ind w:start="4320" w:end="0"/>
        <w:rPr>
          <w:sz w:val="22"/>
          <w:szCs w:val="22"/>
        </w:rPr>
      </w:pPr>
      <w:r>
        <w:rPr>
          <w:sz w:val="22"/>
          <w:szCs w:val="22"/>
        </w:rPr>
        <w:t xml:space="preserve">       </w:t>
      </w:r>
      <w:r>
        <w:rPr>
          <w:sz w:val="22"/>
          <w:szCs w:val="22"/>
        </w:rPr>
        <w:t>Y</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ind w:start="2880" w:end="0"/>
        <w:rPr>
          <w:sz w:val="22"/>
          <w:szCs w:val="22"/>
        </w:rPr>
      </w:pPr>
      <w:r>
        <w:rPr>
          <w:sz w:val="22"/>
          <w:szCs w:val="22"/>
        </w:rPr>
        <w:t>Where:</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STD =</w:t>
        <w:tab/>
        <w:t>allowable NOx emissions (percent by volume at 15 % O</w:t>
      </w:r>
      <w:r>
        <w:rPr>
          <w:sz w:val="22"/>
          <w:szCs w:val="22"/>
          <w:vertAlign w:val="subscript"/>
        </w:rPr>
        <w:t>2</w:t>
      </w:r>
      <w:r>
        <w:rPr>
          <w:sz w:val="22"/>
          <w:szCs w:val="22"/>
        </w:rPr>
        <w:t xml:space="preserve"> and on a dry basis). </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sz w:val="22"/>
          <w:szCs w:val="22"/>
        </w:rPr>
      </w:pPr>
      <w:r>
        <w:rPr>
          <w:sz w:val="22"/>
          <w:szCs w:val="22"/>
        </w:rPr>
        <w:t>Y  =</w:t>
        <w:tab/>
        <w:t>manufacturer's rated heat rate at manufacturer's rated peak load (kilojoules per watt hour), or actual measured heat rate based on lower heating value of fuel as measured at actual peak load for the facility.  The value of Y shall not exceed 14.4 kilojoules per watt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F  =</w:t>
        <w:tab/>
        <w:t>NO</w:t>
      </w:r>
      <w:r>
        <w:rPr>
          <w:sz w:val="22"/>
          <w:szCs w:val="22"/>
          <w:vertAlign w:val="subscript"/>
        </w:rPr>
        <w:t>X</w:t>
      </w:r>
      <w:r>
        <w:rPr>
          <w:sz w:val="22"/>
          <w:szCs w:val="22"/>
        </w:rPr>
        <w:t xml:space="preserve"> emission allowance for fuel</w:t>
        <w:noBreakHyphen/>
        <w:t xml:space="preserve">bound nitrogen as defined in 40 CFR </w:t>
      </w:r>
      <w:r>
        <w:rPr>
          <w:rFonts w:cs="WP TypographicSymbols" w:ascii="WP TypographicSymbols" w:hAnsi="WP TypographicSymbols"/>
          <w:sz w:val="22"/>
          <w:szCs w:val="22"/>
        </w:rPr>
        <w:t>'</w:t>
      </w:r>
      <w:r>
        <w:rPr>
          <w:rFonts w:cs="GoudyOlSt BT" w:ascii="GoudyOlSt BT" w:hAnsi="GoudyOlSt BT"/>
          <w:sz w:val="22"/>
          <w:szCs w:val="22"/>
        </w:rPr>
        <w:t>60.332(a)(3).</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2. </w:t>
        <w:tab/>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pPr>
      <w:r>
        <w:rPr>
          <w:rFonts w:cs="GoudyOlSt BT" w:ascii="GoudyOlSt BT" w:hAnsi="GoudyOlSt BT"/>
          <w:sz w:val="22"/>
          <w:szCs w:val="22"/>
        </w:rPr>
        <w:t xml:space="preserve">a. </w:t>
        <w:tab/>
        <w:t xml:space="preserve">Within 180 days of startup, the Permittee shall conduct or cause to be conducted, an initial performance test at peak load conditions </w:t>
      </w:r>
      <w:r>
        <w:rPr>
          <w:sz w:val="22"/>
          <w:szCs w:val="22"/>
        </w:rPr>
        <w:t>and furnish the Director a written report of the results of the test</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r>
        <w:rPr>
          <w:rFonts w:cs="GoudyOlSt BT" w:ascii="GoudyOlSt BT" w:hAnsi="GoudyOlSt BT"/>
          <w:sz w:val="22"/>
          <w:szCs w:val="22"/>
        </w:rPr>
        <w:tab/>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b/>
          <w:bCs/>
          <w:sz w:val="22"/>
          <w:szCs w:val="22"/>
        </w:rPr>
      </w:pPr>
      <w:r>
        <w:rPr>
          <w:sz w:val="22"/>
          <w:szCs w:val="22"/>
        </w:rPr>
        <w:t xml:space="preserve">B. </w:t>
      </w:r>
      <w:r>
        <w:rPr>
          <w:b/>
          <w:bCs/>
          <w:sz w:val="22"/>
          <w:szCs w:val="22"/>
        </w:rPr>
        <w:tab/>
      </w:r>
      <w:r>
        <w:rPr>
          <w:sz w:val="22"/>
          <w:szCs w:val="22"/>
        </w:rPr>
        <w:t>Carbon Monoxide</w:t>
      </w:r>
      <w:r>
        <w:rPr>
          <w:b/>
          <w:bCs/>
          <w:sz w:val="22"/>
          <w:szCs w:val="22"/>
        </w:rPr>
        <w:tab/>
      </w:r>
      <w:r>
        <w:rPr>
          <w:rFonts w:cs="GoudyOlSt BT" w:ascii="GoudyOlSt BT" w:hAnsi="GoudyOlSt BT"/>
          <w:sz w:val="18"/>
          <w:szCs w:val="18"/>
        </w:rPr>
        <w:t>[A.A.C R18-2-306.01, 331.A.3.a]</w:t>
      </w:r>
    </w:p>
    <w:p>
      <w:pPr>
        <w:pStyle w:val="Normal"/>
        <w:tabs>
          <w:tab w:val="clear" w:pos="720"/>
          <w:tab w:val="left" w:pos="0" w:leader="none"/>
        </w:tabs>
        <w:rPr>
          <w:b/>
          <w:bCs/>
          <w:sz w:val="22"/>
          <w:szCs w:val="22"/>
        </w:rPr>
      </w:pPr>
      <w:r>
        <w:rPr>
          <w:b/>
          <w:bCs/>
          <w:sz w:val="22"/>
          <w:szCs w:val="22"/>
        </w:rPr>
        <w:t xml:space="preserve"> </w:t>
      </w:r>
    </w:p>
    <w:p>
      <w:pPr>
        <w:pStyle w:val="Normal"/>
        <w:tabs>
          <w:tab w:val="left" w:pos="0" w:leader="none"/>
          <w:tab w:val="left" w:pos="720" w:leader="none"/>
          <w:tab w:val="left" w:pos="1440" w:leader="none"/>
          <w:tab w:val="left" w:pos="2160" w:leader="none"/>
          <w:tab w:val="right" w:pos="9936" w:leader="none"/>
        </w:tabs>
        <w:ind w:hanging="720" w:start="2160" w:end="0"/>
        <w:rPr/>
      </w:pPr>
      <w:r>
        <w:rPr>
          <w:sz w:val="22"/>
          <w:szCs w:val="22"/>
        </w:rPr>
        <w:t>1.</w:t>
      </w:r>
      <w:r>
        <w:rPr>
          <w:b/>
          <w:bCs/>
          <w:sz w:val="22"/>
          <w:szCs w:val="22"/>
        </w:rPr>
        <w:t xml:space="preserve"> </w:t>
        <w:tab/>
      </w:r>
      <w:r>
        <w:rPr>
          <w:sz w:val="22"/>
          <w:szCs w:val="22"/>
        </w:rPr>
        <w:t>Emission Limitations/Standards</w:t>
        <w:tab/>
      </w:r>
    </w:p>
    <w:p>
      <w:pPr>
        <w:pStyle w:val="Normal"/>
        <w:tabs>
          <w:tab w:val="clear" w:pos="720"/>
          <w:tab w:val="left" w:pos="0" w:leader="none"/>
        </w:tabs>
        <w:ind w:start="2160" w:end="0"/>
        <w:rPr>
          <w:sz w:val="22"/>
          <w:szCs w:val="22"/>
        </w:rPr>
      </w:pPr>
      <w:r>
        <w:rPr>
          <w:sz w:val="22"/>
          <w:szCs w:val="22"/>
        </w:rPr>
      </w:r>
    </w:p>
    <w:p>
      <w:pPr>
        <w:pStyle w:val="Normal"/>
        <w:tabs>
          <w:tab w:val="clear" w:pos="720"/>
          <w:tab w:val="left" w:pos="0" w:leader="none"/>
        </w:tabs>
        <w:ind w:start="2160" w:end="0"/>
        <w:rPr>
          <w:sz w:val="22"/>
          <w:szCs w:val="22"/>
        </w:rPr>
      </w:pPr>
      <w:r>
        <w:rPr>
          <w:i/>
          <w:iCs/>
          <w:sz w:val="22"/>
          <w:szCs w:val="22"/>
          <w:u w:val="single"/>
        </w:rPr>
        <w:t>The emissions of CO shall not exceed 40 ppmvd at 15% O2 based on a 3-hour average.</w:t>
      </w:r>
    </w:p>
    <w:p>
      <w:pPr>
        <w:pStyle w:val="Normal"/>
        <w:tabs>
          <w:tab w:val="clear" w:pos="720"/>
          <w:tab w:val="left" w:pos="0" w:leader="none"/>
        </w:tabs>
        <w:jc w:val="end"/>
        <w:rPr>
          <w:b/>
          <w:bCs/>
          <w:sz w:val="22"/>
          <w:szCs w:val="22"/>
        </w:rPr>
      </w:pPr>
      <w:r>
        <w:rPr>
          <w:rFonts w:cs="GoudyOlSt BT" w:ascii="GoudyOlSt BT" w:hAnsi="GoudyOlSt BT"/>
          <w:sz w:val="18"/>
          <w:szCs w:val="18"/>
        </w:rPr>
        <w:t>[A.A.C R18-2-306.01, -331]</w:t>
      </w:r>
    </w:p>
    <w:p>
      <w:pPr>
        <w:pStyle w:val="Normal"/>
        <w:tabs>
          <w:tab w:val="clear" w:pos="720"/>
          <w:tab w:val="left" w:pos="0" w:leader="none"/>
        </w:tabs>
        <w:rPr>
          <w:b/>
          <w:bCs/>
          <w:sz w:val="22"/>
          <w:szCs w:val="22"/>
        </w:rPr>
      </w:pPr>
      <w:r>
        <w:rPr>
          <w:b/>
          <w:bCs/>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2.</w:t>
      </w:r>
      <w:r>
        <w:rPr>
          <w:b/>
          <w:bCs/>
          <w:sz w:val="22"/>
          <w:szCs w:val="22"/>
        </w:rPr>
        <w:t xml:space="preserve"> </w:t>
        <w:tab/>
      </w:r>
      <w:r>
        <w:rPr>
          <w:sz w:val="22"/>
          <w:szCs w:val="22"/>
        </w:rPr>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a. </w:t>
        <w:tab/>
        <w:t xml:space="preserve">Within 180 days of startup, the Permittee shall conduct or cause to be conducted, an initial performance under peak load conditions </w:t>
      </w:r>
      <w:r>
        <w:rPr>
          <w:sz w:val="22"/>
          <w:szCs w:val="22"/>
        </w:rPr>
        <w:t>and 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pPr>
      <w:r>
        <w:rPr>
          <w:rFonts w:cs="GoudyOlSt BT" w:ascii="GoudyOlSt BT" w:hAnsi="GoudyOlSt BT"/>
          <w:sz w:val="22"/>
          <w:szCs w:val="22"/>
        </w:rPr>
        <w:t xml:space="preserve">C. </w:t>
        <w:tab/>
        <w:t xml:space="preserve">Fuel </w:t>
      </w:r>
      <w:r>
        <w:rPr>
          <w:sz w:val="17"/>
          <w:szCs w:val="17"/>
        </w:rPr>
        <w:tab/>
        <w:t>[A.A.C. R18-2-306.A.2</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1. </w:t>
        <w:tab/>
        <w:t>The Permittee shall only fire pipeline quality natural gas in the turbine.</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2. </w:t>
        <w:tab/>
        <w:t>The Permittee shall keep records of the natural gas usage and maintain a vendor-provided copy of that part of the Federal Energy Regulatory Commission approved tariff agreement that contains the sulfur content and lower heating value of the pipeline quality natural gas.</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rPr>
          <w:rFonts w:ascii="GoudyOlSt BT" w:hAnsi="GoudyOlSt BT" w:cs="GoudyOlSt BT"/>
          <w:sz w:val="22"/>
          <w:szCs w:val="22"/>
        </w:rPr>
      </w:pPr>
      <w:r>
        <w:rPr>
          <w:i/>
          <w:iCs/>
          <w:sz w:val="22"/>
          <w:szCs w:val="22"/>
        </w:rPr>
        <w:t xml:space="preserve">Condition VII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1000156</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720" w:end="0"/>
        <w:rPr/>
      </w:pPr>
      <w:r>
        <w:rPr>
          <w:b/>
          <w:bCs/>
          <w:sz w:val="22"/>
          <w:szCs w:val="22"/>
        </w:rPr>
        <w:t>VII</w:t>
      </w:r>
      <w:r>
        <w:rPr>
          <w:sz w:val="22"/>
          <w:szCs w:val="22"/>
        </w:rPr>
        <w:t>.</w:t>
        <w:tab/>
      </w:r>
      <w:r>
        <w:rPr>
          <w:b/>
          <w:bCs/>
          <w:sz w:val="22"/>
          <w:szCs w:val="22"/>
        </w:rPr>
        <w:t>Caterpillar 3406B Diesel Generator Engine, Unit 123</w:t>
      </w:r>
    </w:p>
    <w:p>
      <w:pPr>
        <w:pStyle w:val="Normal"/>
        <w:tabs>
          <w:tab w:val="clear" w:pos="720"/>
          <w:tab w:val="right" w:pos="9936" w:leader="none"/>
        </w:tabs>
        <w:ind w:firstLine="5040" w:end="0"/>
        <w:rPr>
          <w:sz w:val="22"/>
          <w:szCs w:val="22"/>
        </w:rPr>
      </w:pPr>
      <w:r>
        <w:rPr>
          <w:b/>
          <w:bCs/>
          <w:sz w:val="17"/>
          <w:szCs w:val="17"/>
        </w:rPr>
        <w:tab/>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A.</w:t>
        <w:tab/>
        <w:t>Emission Standards</w:t>
        <w:tab/>
        <w:t xml:space="preserve">     </w:t>
      </w:r>
      <w:r>
        <w:rPr>
          <w:sz w:val="18"/>
          <w:szCs w:val="18"/>
        </w:rPr>
        <w:t xml:space="preserve">        [A.A.C R18-2-719.B, -719.C]</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160" w:end="0"/>
        <w:rPr>
          <w:sz w:val="22"/>
          <w:szCs w:val="22"/>
        </w:rPr>
      </w:pPr>
      <w:r>
        <w:rPr>
          <w:sz w:val="22"/>
          <w:szCs w:val="22"/>
        </w:rPr>
        <w:t>1.</w:t>
        <w:tab/>
        <w:t>Particulate Matter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sz w:val="22"/>
          <w:szCs w:val="22"/>
        </w:rPr>
      </w:pPr>
      <w:r>
        <w:rPr>
          <w:sz w:val="22"/>
          <w:szCs w:val="22"/>
        </w:rPr>
        <w:t xml:space="preserve">a. </w:t>
        <w:tab/>
        <w:t>The Permittee shall not cause, allow or permit the emission of particulate matter, caused by combustion of fuel, from any internal combustion engine stack having a heat input rate of 4200 million BTU per hour or less, in excess of the amount calculated by the following equation:</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3600" w:end="0"/>
        <w:rPr/>
      </w:pPr>
      <w:r>
        <w:rPr>
          <w:sz w:val="22"/>
          <w:szCs w:val="22"/>
        </w:rPr>
        <w:t xml:space="preserve">E = 1.02Q </w:t>
      </w:r>
      <w:r>
        <w:rPr>
          <w:sz w:val="22"/>
          <w:szCs w:val="22"/>
          <w:vertAlign w:val="superscript"/>
        </w:rPr>
        <w:t>0.769</w:t>
      </w:r>
      <w:r>
        <w:rPr>
          <w:sz w:val="22"/>
          <w:szCs w:val="22"/>
        </w:rPr>
        <w:t xml:space="preserve"> </w:t>
      </w:r>
    </w:p>
    <w:p>
      <w:pPr>
        <w:pStyle w:val="Normal"/>
        <w:tabs>
          <w:tab w:val="clear" w:pos="720"/>
          <w:tab w:val="left" w:pos="0" w:leader="none"/>
        </w:tabs>
        <w:rPr>
          <w:sz w:val="22"/>
          <w:szCs w:val="22"/>
        </w:rPr>
      </w:pPr>
      <w:r>
        <w:rPr>
          <w:sz w:val="22"/>
          <w:szCs w:val="22"/>
        </w:rPr>
      </w:r>
      <w:bookmarkStart w:id="0" w:name="QuickMark"/>
      <w:bookmarkStart w:id="1" w:name="QuickMark"/>
      <w:bookmarkEnd w:id="1"/>
    </w:p>
    <w:p>
      <w:pPr>
        <w:pStyle w:val="Normal"/>
        <w:tabs>
          <w:tab w:val="clear" w:pos="720"/>
          <w:tab w:val="left" w:pos="0" w:leader="none"/>
        </w:tabs>
        <w:ind w:start="3600" w:end="0"/>
        <w:rPr>
          <w:sz w:val="22"/>
          <w:szCs w:val="22"/>
        </w:rPr>
      </w:pPr>
      <w:r>
        <w:rPr>
          <w:sz w:val="22"/>
          <w:szCs w:val="22"/>
        </w:rPr>
        <w:t>where:</w:t>
      </w:r>
    </w:p>
    <w:p>
      <w:pPr>
        <w:pStyle w:val="Normal"/>
        <w:tabs>
          <w:tab w:val="clear" w:pos="720"/>
          <w:tab w:val="left" w:pos="0" w:leader="none"/>
        </w:tabs>
        <w:ind w:start="3600" w:end="0"/>
        <w:rPr>
          <w:sz w:val="22"/>
          <w:szCs w:val="22"/>
        </w:rPr>
      </w:pPr>
      <w:r>
        <w:rPr>
          <w:sz w:val="22"/>
          <w:szCs w:val="22"/>
        </w:rPr>
        <w:t>E = the maximum allowable particulate emissions rate in pounds-mass per hour</w:t>
      </w:r>
    </w:p>
    <w:p>
      <w:pPr>
        <w:pStyle w:val="Normal"/>
        <w:tabs>
          <w:tab w:val="clear" w:pos="720"/>
          <w:tab w:val="left" w:pos="0" w:leader="none"/>
        </w:tabs>
        <w:ind w:start="3600" w:end="0"/>
        <w:rPr>
          <w:sz w:val="22"/>
          <w:szCs w:val="22"/>
        </w:rPr>
      </w:pPr>
      <w:r>
        <w:rPr>
          <w:sz w:val="22"/>
          <w:szCs w:val="22"/>
        </w:rPr>
        <w:t>Q = the heat input in million BTU per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880" w:end="0"/>
        <w:rPr>
          <w:sz w:val="22"/>
          <w:szCs w:val="22"/>
        </w:rPr>
      </w:pPr>
      <w:r>
        <w:rPr>
          <w:sz w:val="22"/>
          <w:szCs w:val="22"/>
        </w:rPr>
        <w:t>For the purposes of this condition, the heat input shall be the aggregate heat content of all fuels whose products of combustion pass through the engine stack or other outlet.  The total heat input of all operating fuel burning units on a plant or premises shall be used for determining the maximum allowable amount of particulate matter which may be emitted.</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sz w:val="17"/>
          <w:szCs w:val="17"/>
        </w:rPr>
      </w:pPr>
      <w:r>
        <w:rPr>
          <w:sz w:val="22"/>
          <w:szCs w:val="22"/>
        </w:rPr>
        <w:t>b.</w:t>
        <w:tab/>
        <w:t>The Permittee shall not cause, allow or permit to be emitted into the atmosphere from the generator, smoke which exceeds 40 percent opacity, for any period greater than ten consecutive seconds.  Visible emissions when starting cold equipment are exempt from this requirement for the first ten minutes.</w:t>
        <w:tab/>
      </w:r>
    </w:p>
    <w:p>
      <w:pPr>
        <w:pStyle w:val="Normal"/>
        <w:tabs>
          <w:tab w:val="clear" w:pos="720"/>
          <w:tab w:val="left" w:pos="0" w:leader="none"/>
        </w:tabs>
        <w:jc w:val="end"/>
        <w:rPr>
          <w:sz w:val="22"/>
          <w:szCs w:val="22"/>
        </w:rPr>
      </w:pPr>
      <w:r>
        <w:rPr>
          <w:sz w:val="17"/>
          <w:szCs w:val="17"/>
        </w:rPr>
        <w:t>[A.A.C. R18-2-719.E]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start="1440" w:end="0"/>
        <w:rPr>
          <w:sz w:val="22"/>
          <w:szCs w:val="22"/>
        </w:rPr>
      </w:pPr>
      <w:r>
        <w:rPr>
          <w:sz w:val="22"/>
          <w:szCs w:val="22"/>
        </w:rPr>
        <w:t xml:space="preserve">2. </w:t>
        <w:tab/>
        <w:t>Sulfur Dioxide</w:t>
        <w:tab/>
      </w:r>
      <w:r>
        <w:rPr>
          <w:sz w:val="17"/>
          <w:szCs w:val="17"/>
        </w:rPr>
        <w:t>[A.A.C. R18-2-719.F]</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160" w:end="0"/>
        <w:rPr>
          <w:sz w:val="22"/>
          <w:szCs w:val="22"/>
        </w:rPr>
      </w:pPr>
      <w:r>
        <w:rPr>
          <w:sz w:val="22"/>
          <w:szCs w:val="22"/>
        </w:rPr>
        <w:t>The Permittee shall not cause or allow to be discharged into the atmosphere from the generator stack, emissions of sulfur dioxide at a rate greater than 1.0 pound per million Btu heat input.</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hanging="720" w:start="1440" w:end="0"/>
        <w:rPr>
          <w:sz w:val="22"/>
          <w:szCs w:val="22"/>
        </w:rPr>
      </w:pPr>
      <w:r>
        <w:rPr>
          <w:sz w:val="22"/>
          <w:szCs w:val="22"/>
        </w:rPr>
        <w:t>B.</w:t>
        <w:tab/>
        <w:t>Fuel Limitations</w:t>
        <w:tab/>
        <w:tab/>
        <w:tab/>
        <w:tab/>
      </w:r>
      <w:r>
        <w:rPr>
          <w:sz w:val="17"/>
          <w:szCs w:val="17"/>
        </w:rPr>
        <w:tab/>
        <w:tab/>
        <w:tab/>
        <w:t xml:space="preserve">        [A.A.C. R18-2-306.A.2 and 719.J]</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start="1440" w:end="0"/>
        <w:rPr/>
      </w:pPr>
      <w:r>
        <w:rPr>
          <w:sz w:val="22"/>
          <w:szCs w:val="22"/>
        </w:rPr>
        <w:t xml:space="preserve">The Permittee shall burn </w:t>
      </w:r>
      <w:r>
        <w:rPr>
          <w:b/>
          <w:bCs/>
          <w:sz w:val="22"/>
          <w:szCs w:val="22"/>
        </w:rPr>
        <w:t xml:space="preserve">only </w:t>
      </w:r>
      <w:r>
        <w:rPr>
          <w:sz w:val="22"/>
          <w:szCs w:val="22"/>
        </w:rPr>
        <w:t>low sulfur diesel fuel (less than 0.8% sulfur content) in the generator.</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firstLine="720" w:end="0"/>
        <w:rPr>
          <w:smallCaps/>
          <w:sz w:val="22"/>
          <w:szCs w:val="22"/>
        </w:rPr>
      </w:pPr>
      <w:r>
        <w:rPr>
          <w:sz w:val="22"/>
          <w:szCs w:val="22"/>
        </w:rPr>
        <w:t>C.</w:t>
        <w:tab/>
        <w:t>Operational Limitations</w:t>
        <w:tab/>
        <w:tab/>
        <w:tab/>
        <w:tab/>
        <w:tab/>
        <w:tab/>
        <w:t xml:space="preserve">      </w:t>
      </w:r>
      <w:r>
        <w:rPr>
          <w:sz w:val="17"/>
          <w:szCs w:val="17"/>
        </w:rPr>
        <w:t xml:space="preserve"> [A.A.C. R18-2-306.A.2, -306.01]</w:t>
      </w:r>
    </w:p>
    <w:p>
      <w:pPr>
        <w:pStyle w:val="Normal"/>
        <w:tabs>
          <w:tab w:val="clear" w:pos="720"/>
          <w:tab w:val="left" w:pos="0" w:leader="none"/>
        </w:tabs>
        <w:rPr>
          <w:smallCaps/>
          <w:sz w:val="22"/>
          <w:szCs w:val="22"/>
        </w:rPr>
      </w:pPr>
      <w:r>
        <w:rPr>
          <w:smallCaps/>
          <w:sz w:val="22"/>
          <w:szCs w:val="22"/>
        </w:rPr>
      </w:r>
    </w:p>
    <w:p>
      <w:pPr>
        <w:pStyle w:val="Normal"/>
        <w:tabs>
          <w:tab w:val="clear" w:pos="720"/>
          <w:tab w:val="left" w:pos="0" w:leader="none"/>
        </w:tabs>
        <w:ind w:start="1440" w:end="0"/>
        <w:rPr>
          <w:sz w:val="22"/>
          <w:szCs w:val="22"/>
        </w:rPr>
      </w:pPr>
      <w:r>
        <w:rPr>
          <w:sz w:val="22"/>
          <w:szCs w:val="22"/>
        </w:rPr>
        <w:t>The Permittee shall limit the hours of operation of the generator to 2000 hours for any consecutive 12-month period.</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right" w:pos="9936" w:leader="none"/>
        </w:tabs>
        <w:rPr>
          <w:sz w:val="22"/>
          <w:szCs w:val="22"/>
        </w:rPr>
      </w:pPr>
      <w:r>
        <w:rPr>
          <w:sz w:val="16"/>
          <w:szCs w:val="16"/>
        </w:rPr>
        <w:t xml:space="preserve">          </w:t>
      </w:r>
      <w:r>
        <w:rPr>
          <w:sz w:val="16"/>
          <w:szCs w:val="16"/>
        </w:rPr>
        <w:tab/>
        <w:t xml:space="preserve"> [THIS IS A MATERIAL PERMIT CONDITION]</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D.</w:t>
        <w:tab/>
        <w:t xml:space="preserve">Testing Requirements </w:t>
        <w:tab/>
      </w:r>
      <w:r>
        <w:rPr>
          <w:sz w:val="17"/>
          <w:szCs w:val="17"/>
        </w:rPr>
        <w:t>[A.A.C.R18-2-311, -312 and -702]</w:t>
      </w:r>
    </w:p>
    <w:p>
      <w:pPr>
        <w:pStyle w:val="Normal"/>
        <w:tabs>
          <w:tab w:val="clear" w:pos="720"/>
          <w:tab w:val="left" w:pos="0" w:leader="none"/>
        </w:tabs>
        <w:rPr>
          <w:sz w:val="22"/>
          <w:szCs w:val="22"/>
        </w:rPr>
      </w:pPr>
      <w:r>
        <w:rPr>
          <w:sz w:val="22"/>
          <w:szCs w:val="22"/>
        </w:rPr>
      </w:r>
    </w:p>
    <w:p>
      <w:pPr>
        <w:pStyle w:val="Level3"/>
        <w:numPr>
          <w:ilvl w:val="2"/>
          <w:numId w:val="1"/>
        </w:numPr>
        <w:tabs>
          <w:tab w:val="left" w:pos="0" w:leader="none"/>
          <w:tab w:val="left" w:pos="2160" w:leader="none"/>
        </w:tabs>
        <w:rPr>
          <w:sz w:val="24"/>
        </w:rPr>
      </w:pPr>
      <w:r>
        <w:rPr>
          <w:sz w:val="24"/>
        </w:rPr>
        <w:t>Within 180 days of issuance of this permit, the Permittee shall conduct or cause to be conducted an initial performance test for opacity using EPA Method 9 and furnish the Director a written report of the results of the test.</w:t>
      </w:r>
    </w:p>
    <w:p>
      <w:pPr>
        <w:pStyle w:val="Normal"/>
        <w:tabs>
          <w:tab w:val="clear" w:pos="720"/>
          <w:tab w:val="left" w:pos="0" w:leader="none"/>
        </w:tabs>
        <w:rPr>
          <w:sz w:val="24"/>
        </w:rPr>
      </w:pPr>
      <w:r>
        <w:rPr>
          <w:sz w:val="24"/>
        </w:rPr>
      </w:r>
    </w:p>
    <w:p>
      <w:pPr>
        <w:pStyle w:val="Normal"/>
        <w:tabs>
          <w:tab w:val="clear" w:pos="720"/>
          <w:tab w:val="left" w:pos="0" w:leader="none"/>
        </w:tabs>
        <w:ind w:hanging="720" w:start="2160" w:end="0"/>
        <w:rPr>
          <w:sz w:val="24"/>
        </w:rPr>
      </w:pPr>
      <w:r>
        <w:rPr>
          <w:sz w:val="24"/>
        </w:rPr>
        <w:t>2.</w:t>
        <w:tab/>
        <w:t>The Department may deem it necessary to conduct a performance test based on site/operation inspection or excess emissions.  If testing is required, the Permittee shall meet the requirements described in Section XVIII of Attachment "A". The performance test shall be conducted and data reduced (as required by A.A.C. R18-2-312.B) in accordance with the following test method and procedures contained in the Arizona Testing Manual or 40 CFR Part 60, Appendix A:</w:t>
      </w:r>
    </w:p>
    <w:p>
      <w:pPr>
        <w:pStyle w:val="Normal"/>
        <w:tabs>
          <w:tab w:val="clear" w:pos="720"/>
          <w:tab w:val="left" w:pos="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a.</w:t>
        <w:tab/>
        <w:t>EPA Reference Method 5 shall be used to determine the concentration of particulate matter.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b.</w:t>
        <w:tab/>
        <w:t>EPA Reference Method 9 shall be used to determine the opacity of visible emissions.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E.</w:t>
        <w:tab/>
        <w:t xml:space="preserve">Periodic Monitoring </w:t>
      </w:r>
      <w:r>
        <w:rPr>
          <w:sz w:val="19"/>
          <w:szCs w:val="19"/>
        </w:rPr>
        <w:tab/>
        <w:t>[A.A.C.R18-2-306.A.3]</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1260" w:end="0"/>
        <w:rPr>
          <w:sz w:val="24"/>
        </w:rPr>
      </w:pPr>
      <w:r>
        <w:rPr>
          <w:sz w:val="24"/>
        </w:rPr>
        <w:t>After the initial performance test, the Permittee shall conduct subsequent EPA Method 9 readings to determine compliance with opacity standards on a quarterly basis.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F.</w:t>
        <w:tab/>
        <w:t xml:space="preserve">Recordkeeping Requirements </w:t>
        <w:tab/>
      </w:r>
      <w:r>
        <w:rPr>
          <w:sz w:val="19"/>
          <w:szCs w:val="19"/>
        </w:rPr>
        <w:t>[A.A.C.R18-2-306.A.3.b, -719.I and -719.J]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4"/>
        </w:rPr>
      </w:pPr>
      <w:r>
        <w:rPr>
          <w:sz w:val="24"/>
        </w:rPr>
        <w:t>1.</w:t>
        <w:tab/>
        <w:t>Fuel</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4"/>
        </w:rPr>
      </w:pPr>
      <w:r>
        <w:rPr>
          <w:sz w:val="24"/>
        </w:rPr>
        <w:t>The Permittee shall maintain documentation of the type and sulfur content of fuel consumed, and shall report to the Director any daily period during which the sulfur content of the fuel being burned in the generator exceeds 0.8%.</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4"/>
        </w:rPr>
      </w:pPr>
      <w:r>
        <w:rPr>
          <w:sz w:val="24"/>
        </w:rPr>
        <w:t>2.</w:t>
        <w:tab/>
        <w:t>Hours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4"/>
        </w:rPr>
        <w:t xml:space="preserve">a. </w:t>
        <w:tab/>
        <w:t xml:space="preserve">The Permittee </w:t>
      </w:r>
      <w:r>
        <w:rPr>
          <w:rFonts w:cs="GoudyOlSt BT" w:ascii="GoudyOlSt BT" w:hAnsi="GoudyOlSt BT"/>
          <w:sz w:val="22"/>
          <w:szCs w:val="22"/>
        </w:rPr>
        <w:t>shall maintain monthly records of the hours of operations of the generator.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2"/>
          <w:szCs w:val="22"/>
        </w:rPr>
        <w:t xml:space="preserve">b. </w:t>
        <w:tab/>
      </w:r>
      <w:r>
        <w:rPr>
          <w:rFonts w:cs="GoudyOlSt BT" w:ascii="GoudyOlSt BT" w:hAnsi="GoudyOlSt BT"/>
          <w:sz w:val="22"/>
          <w:szCs w:val="22"/>
        </w:rPr>
        <w:t>The Permittee shall maintain 12-month rolling totals (i.e., sum of the current month and the previous 11 months) of the operating times of the generator.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2"/>
          <w:szCs w:val="22"/>
        </w:rPr>
      </w:pPr>
      <w:r>
        <w:rPr>
          <w:sz w:val="22"/>
          <w:szCs w:val="22"/>
        </w:rPr>
        <w:t>3.</w:t>
        <w:tab/>
        <w:t>Opacity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2"/>
          <w:szCs w:val="22"/>
        </w:rPr>
      </w:pPr>
      <w:r>
        <w:rPr>
          <w:sz w:val="22"/>
          <w:szCs w:val="22"/>
        </w:rPr>
        <w:t>The Permittee shall maintain records of all quarterly opacity readings in a log.  The record shall have at a minimum the name of the observer, the date and time of opacity test, the source on which the test is being performed and the results of the test.</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center" w:pos="4968"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tab/>
      </w:r>
      <w:r>
        <w:rPr>
          <w:b/>
          <w:bCs/>
          <w:sz w:val="22"/>
          <w:szCs w:val="22"/>
        </w:rPr>
        <w:t xml:space="preserve">ATTACHMENT </w:t>
      </w:r>
      <w:r>
        <w:rPr>
          <w:rFonts w:cs="WP TypographicSymbols" w:ascii="WP TypographicSymbols" w:hAnsi="WP TypographicSymbols"/>
          <w:b/>
          <w:bCs/>
          <w:sz w:val="22"/>
          <w:szCs w:val="22"/>
        </w:rPr>
        <w:t>A</w:t>
      </w:r>
      <w:r>
        <w:rPr>
          <w:b/>
          <w:bCs/>
          <w:sz w:val="22"/>
          <w:szCs w:val="22"/>
        </w:rPr>
        <w:t>C</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i/>
          <w:iCs/>
          <w:sz w:val="22"/>
          <w:szCs w:val="22"/>
        </w:rPr>
        <w:t xml:space="preserve">The following shall be added to the list of applicable requirements in Attachment </w:t>
      </w:r>
      <w:r>
        <w:rPr>
          <w:rFonts w:cs="WP TypographicSymbols" w:ascii="WP TypographicSymbols" w:hAnsi="WP TypographicSymbols"/>
          <w:i/>
          <w:iCs/>
          <w:sz w:val="22"/>
          <w:szCs w:val="22"/>
        </w:rPr>
        <w:t>A</w:t>
      </w:r>
      <w:r>
        <w:rPr>
          <w:i/>
          <w:iCs/>
          <w:sz w:val="22"/>
          <w:szCs w:val="22"/>
        </w:rPr>
        <w:t>C</w:t>
      </w:r>
      <w:r>
        <w:rPr>
          <w:rFonts w:cs="WP TypographicSymbols" w:ascii="WP TypographicSymbols" w:hAnsi="WP TypographicSymbols"/>
          <w:i/>
          <w:iCs/>
          <w:sz w:val="22"/>
          <w:szCs w:val="22"/>
        </w:rPr>
        <w:t>@</w:t>
      </w:r>
      <w:r>
        <w:rPr>
          <w:i/>
          <w:iCs/>
          <w:sz w:val="22"/>
          <w:szCs w:val="22"/>
        </w:rPr>
        <w:t xml:space="preserve"> of Permit No. 1000156.</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b/>
          <w:bCs/>
          <w:sz w:val="22"/>
          <w:szCs w:val="22"/>
          <w:u w:val="single"/>
        </w:rPr>
        <w:t>ARTICLE 7</w:t>
      </w:r>
      <w:r>
        <w:rPr>
          <w:rFonts w:cs="GoudyOlSt BT" w:ascii="GoudyOlSt BT" w:hAnsi="GoudyOlSt BT"/>
          <w:b/>
          <w:bCs/>
          <w:sz w:val="22"/>
          <w:szCs w:val="22"/>
        </w:rPr>
        <w:tab/>
        <w:tab/>
      </w:r>
      <w:r>
        <w:rPr>
          <w:rFonts w:cs="GoudyOlSt BT" w:ascii="GoudyOlSt BT" w:hAnsi="GoudyOlSt BT"/>
          <w:b/>
          <w:bCs/>
          <w:sz w:val="22"/>
          <w:szCs w:val="22"/>
          <w:u w:val="single"/>
        </w:rPr>
        <w:t>EXISTING STATIONARY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sz w:val="22"/>
          <w:szCs w:val="22"/>
        </w:rPr>
        <w:t>R18-2-719.A, B, C</w:t>
        <w:tab/>
        <w:t>Standards of Performance for Existing Stationary Rotating Machinery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t>E, F, I, 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pPr>
      <w:r>
        <w:rPr>
          <w:rFonts w:cs="GoudyOlSt BT" w:ascii="GoudyOlSt BT" w:hAnsi="GoudyOlSt BT"/>
          <w:b/>
          <w:bCs/>
          <w:sz w:val="22"/>
          <w:szCs w:val="22"/>
          <w:u w:val="single"/>
        </w:rPr>
        <w:t>ARTICLE 9</w:t>
      </w:r>
      <w:r>
        <w:rPr>
          <w:rFonts w:cs="GoudyOlSt BT" w:ascii="GoudyOlSt BT" w:hAnsi="GoudyOlSt BT"/>
          <w:b/>
          <w:bCs/>
          <w:sz w:val="22"/>
          <w:szCs w:val="22"/>
        </w:rPr>
        <w:tab/>
        <w:tab/>
      </w:r>
      <w:r>
        <w:rPr>
          <w:rFonts w:cs="GoudyOlSt BT" w:ascii="GoudyOlSt BT" w:hAnsi="GoudyOlSt BT"/>
          <w:b/>
          <w:bCs/>
          <w:sz w:val="22"/>
          <w:szCs w:val="22"/>
          <w:u w:val="single"/>
        </w:rPr>
        <w:t>NEW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rFonts w:ascii="GoudyOlSt BT" w:hAnsi="GoudyOlSt BT" w:cs="GoudyOlSt BT"/>
          <w:sz w:val="22"/>
          <w:szCs w:val="22"/>
          <w:u w:val="single"/>
        </w:rPr>
      </w:pPr>
      <w:r>
        <w:rPr>
          <w:rFonts w:cs="GoudyOlSt BT" w:ascii="GoudyOlSt BT" w:hAnsi="GoudyOlSt BT"/>
          <w:sz w:val="22"/>
          <w:szCs w:val="22"/>
          <w:u w:val="single"/>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260" w:start="1260" w:end="0"/>
        <w:rPr>
          <w:rFonts w:ascii="GoudyOlSt BT" w:hAnsi="GoudyOlSt BT" w:cs="GoudyOlSt BT"/>
          <w:b/>
          <w:bCs/>
          <w:sz w:val="22"/>
          <w:szCs w:val="22"/>
        </w:rPr>
      </w:pPr>
      <w:r>
        <w:rPr>
          <w:rFonts w:cs="GoudyOlSt BT" w:ascii="GoudyOlSt BT" w:hAnsi="GoudyOlSt BT"/>
          <w:sz w:val="22"/>
          <w:szCs w:val="22"/>
        </w:rPr>
        <w:t>R18-2-901.1</w:t>
        <w:tab/>
        <w:tab/>
        <w:t>40 CFR 60, Subpart A, General Provisions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sz w:val="22"/>
          <w:szCs w:val="22"/>
        </w:rPr>
        <w:t>R18-2-901.40</w:t>
        <w:tab/>
        <w:t>40 CFR 60, Subpart GG</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jc w:val="center"/>
        <w:rPr>
          <w:sz w:val="22"/>
          <w:szCs w:val="22"/>
        </w:rPr>
      </w:pPr>
      <w:r>
        <w:rPr>
          <w:b/>
          <w:bCs/>
          <w:sz w:val="22"/>
          <w:szCs w:val="22"/>
        </w:rPr>
        <w:t xml:space="preserve">ATTACHMENT </w:t>
      </w:r>
      <w:r>
        <w:rPr>
          <w:rFonts w:cs="WP TypographicSymbols" w:ascii="WP TypographicSymbols" w:hAnsi="WP TypographicSymbols"/>
          <w:b/>
          <w:bCs/>
          <w:sz w:val="22"/>
          <w:szCs w:val="22"/>
        </w:rPr>
        <w:t>A</w:t>
      </w:r>
      <w:r>
        <w:rPr>
          <w:b/>
          <w:bCs/>
          <w:sz w:val="22"/>
          <w:szCs w:val="22"/>
        </w:rPr>
        <w:t>D</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The following equipment shall be added to the list of equipment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1000156. Six months after startup of Unit 104, existing equipment identified as P1, P2 and P3 in Permit 1000156 shall be permanently retired.</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104</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Compressor turbine</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General Electric</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Natural gas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33526 hp @ 60 F (Base load)</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LM2500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ind w:firstLine="240" w:end="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The following equipment shall replace the equipment identified as P4 and P5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1000156. Equipment P4 and P5 shall be permanently retired after issuance of this Significant Revision.</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123</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Generator engine</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Caterpillar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Diesel</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519 hp</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3406B</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sectPr>
      <w:headerReference w:type="default" r:id="rId4"/>
      <w:footerReference w:type="default" r:id="rId5"/>
      <w:type w:val="nextPage"/>
      <w:pgSz w:orient="landscape" w:w="15840" w:h="12240"/>
      <w:pgMar w:left="1152" w:right="1152" w:gutter="0" w:header="1296" w:top="1352" w:footer="1296" w:bottom="135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overflowPunct w:val="false"/>
        <w:autoSpaceDE w:val="false"/>
        <w:bidi w:val="0"/>
        <w:rPr/>
      </w:pPr>
      <w:r>
        <w:annotationRef/>
      </w:r>
      <w:r>
        <w:rPr>
          <w:rFonts w:ascii="Times New Roman" w:hAnsi="Times New Roman" w:eastAsia="Times New Roman" w:cs="Times New Roman"/>
          <w:color w:val="auto"/>
          <w:sz w:val="24"/>
          <w:szCs w:val="24"/>
          <w:lang w:eastAsia="en-US" w:val="en-US" w:bidi="ar-SA"/>
        </w:rPr>
        <w:t>Public Notice Version July 19, 1999</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OlSt BT">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918" w:leader="none"/>
      </w:tabs>
      <w:ind w:start="18" w:end="18"/>
      <w:rPr>
        <w:szCs w:val="20"/>
      </w:rPr>
    </w:pPr>
    <w:r>
      <w:rPr>
        <w:szCs w:val="20"/>
      </w:rPr>
      <w:t xml:space="preserve">Transwestern Pipeline Company </w:t>
      <w:tab/>
      <w:t>September 24, 2001</w:t>
    </w:r>
  </w:p>
  <w:p>
    <w:pPr>
      <w:pStyle w:val="Normal"/>
      <w:ind w:start="18" w:end="18"/>
      <w:rPr>
        <w:szCs w:val="20"/>
      </w:rPr>
    </w:pPr>
    <w:r>
      <mc:AlternateContent>
        <mc:Choice Requires="wps">
          <w:drawing>
            <wp:anchor behindDoc="1" distT="0" distB="0" distL="114935" distR="114935" simplePos="0" locked="0" layoutInCell="0" allowOverlap="1" relativeHeight="19">
              <wp:simplePos x="0" y="0"/>
              <wp:positionH relativeFrom="page">
                <wp:posOffset>742950</wp:posOffset>
              </wp:positionH>
              <wp:positionV relativeFrom="paragraph">
                <wp:posOffset>635</wp:posOffset>
              </wp:positionV>
              <wp:extent cx="6286500" cy="12065"/>
              <wp:effectExtent l="0" t="635" r="0" b="0"/>
              <wp:wrapNone/>
              <wp:docPr id="2" name=""/>
              <a:graphic xmlns:a="http://schemas.openxmlformats.org/drawingml/2006/main">
                <a:graphicData uri="http://schemas.microsoft.com/office/word/2010/wordprocessingShape">
                  <wps:wsp>
                    <wps:cNvSpPr/>
                    <wps:spPr>
                      <a:xfrm>
                        <a:off x="0" y="0"/>
                        <a:ext cx="62866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8.5pt;margin-top:0pt;width:494.95pt;height:0.9pt;mso-wrap-style:none;v-text-anchor:middle;mso-position-horizontal-relative:page">
              <v:fill o:detectmouseclick="t" type="solid" color2="white"/>
              <v:stroke color="#3465a4" joinstyle="round" endcap="flat"/>
              <w10:wrap type="none"/>
            </v:rect>
          </w:pict>
        </mc:Fallback>
      </mc:AlternateContent>
    </w:r>
    <w:r>
      <w:rPr>
        <w:szCs w:val="20"/>
      </w:rPr>
      <w:t>Significant Revision 1001601</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6309995" cy="146685"/>
              <wp:effectExtent l="0" t="0" r="0" b="0"/>
              <wp:wrapTopAndBottom/>
              <wp:docPr id="3" name="Frame1"/>
              <a:graphic xmlns:a="http://schemas.openxmlformats.org/drawingml/2006/main">
                <a:graphicData uri="http://schemas.microsoft.com/office/word/2010/wordprocessingShape">
                  <wps:wsp>
                    <wps:cNvSpPr txBox="1"/>
                    <wps:spPr>
                      <a:xfrm>
                        <a:off x="0" y="0"/>
                        <a:ext cx="6309995" cy="146685"/>
                      </a:xfrm>
                      <a:prstGeom prst="rect"/>
                      <a:solidFill>
                        <a:srgbClr val="FFFFFF">
                          <a:alpha val="0"/>
                        </a:srgbClr>
                      </a:solidFill>
                    </wps:spPr>
                    <wps:txbx>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7</w:t>
                          </w:r>
                          <w:r>
                            <w:rPr>
                              <w:szCs w:val="20"/>
                            </w:rPr>
                            <w:fldChar w:fldCharType="end"/>
                          </w:r>
                        </w:p>
                      </w:txbxContent>
                    </wps:txbx>
                    <wps:bodyPr anchor="t" lIns="0" tIns="0" rIns="0" bIns="0">
                      <a:noAutofit/>
                    </wps:bodyPr>
                  </wps:wsp>
                </a:graphicData>
              </a:graphic>
            </wp:anchor>
          </w:drawing>
        </mc:Choice>
        <mc:Fallback>
          <w:pict>
            <v:rect fillcolor="#FFFFFF" style="position:absolute;rotation:-0;width:496.8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7</w:t>
                    </w:r>
                    <w:r>
                      <w:rPr>
                        <w:szCs w:val="20"/>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13">
              <wp:simplePos x="0" y="0"/>
              <wp:positionH relativeFrom="margin">
                <wp:posOffset>182880</wp:posOffset>
              </wp:positionH>
              <wp:positionV relativeFrom="margin">
                <wp:posOffset>0</wp:posOffset>
              </wp:positionV>
              <wp:extent cx="5943600" cy="8412480"/>
              <wp:effectExtent l="0" t="0" r="0" b="0"/>
              <wp:wrapNone/>
              <wp:docPr id="1" name="Frame2"/>
              <a:graphic xmlns:a="http://schemas.openxmlformats.org/drawingml/2006/main">
                <a:graphicData uri="http://schemas.microsoft.com/office/word/2010/wordprocessingShape">
                  <wps:wsp>
                    <wps:cNvSpPr txBox="1"/>
                    <wps:spPr>
                      <a:xfrm>
                        <a:off x="0" y="0"/>
                        <a:ext cx="5943600" cy="841248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62.4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20">
              <wp:simplePos x="0" y="0"/>
              <wp:positionH relativeFrom="margin">
                <wp:posOffset>182880</wp:posOffset>
              </wp:positionH>
              <wp:positionV relativeFrom="margin">
                <wp:posOffset>0</wp:posOffset>
              </wp:positionV>
              <wp:extent cx="5943600" cy="7772400"/>
              <wp:effectExtent l="0" t="0" r="0" b="0"/>
              <wp:wrapNone/>
              <wp:docPr id="4" name="Frame10"/>
              <a:graphic xmlns:a="http://schemas.openxmlformats.org/drawingml/2006/main">
                <a:graphicData uri="http://schemas.microsoft.com/office/word/2010/wordprocessingShape">
                  <wps:wsp>
                    <wps:cNvSpPr txBox="1"/>
                    <wps:spPr>
                      <a:xfrm>
                        <a:off x="0" y="0"/>
                        <a:ext cx="5943600" cy="77724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12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rPr>
        <w:sz w:val="22"/>
        <w:szCs w:val="22"/>
        <w:rFonts w:ascii="Times New Roman" w:hAnsi="Times New Roman" w:cs="Times New Roman"/>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7z2">
    <w:name w:val="WW8Num7z2"/>
    <w:qFormat/>
    <w:rPr>
      <w:rFonts w:ascii="Times New Roman" w:hAnsi="Times New Roman" w:cs="Times New Roman"/>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3">
    <w:name w:val="Level 3"/>
    <w:basedOn w:val="Normal"/>
    <w:qFormat/>
    <w:pPr>
      <w:numPr>
        <w:ilvl w:val="0"/>
        <w:numId w:val="1"/>
      </w:numPr>
      <w:tabs>
        <w:tab w:val="clear" w:pos="720"/>
      </w:tabs>
      <w:ind w:hanging="720" w:start="2160" w:end="0"/>
      <w:outlineLvl w:val="2"/>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2001-10-09T11:41:00Z</dcterms:created>
  <dc:creator>Jon Fields</dc:creator>
  <dc:description/>
  <dc:language>en-CA</dc:language>
  <cp:lastModifiedBy>Jon Fields</cp:lastModifiedBy>
  <cp:lastPrinted>2001-10-09T09:31:00Z</cp:lastPrinted>
  <dcterms:modified xsi:type="dcterms:W3CDTF">2001-10-09T12:01:00Z</dcterms:modified>
  <cp:revision>4</cp:revision>
  <dc:subject/>
  <dc:title/>
</cp:coreProperties>
</file>