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5" w:color="000000" w:shadow="1"/>
          <w:right w:val="single" w:sz="4" w:space="4" w:color="000000" w:shadow="1"/>
        </w:pBdr>
        <w:shd w:fill="BFBFBF" w:val="clear"/>
        <w:jc w:val="center"/>
        <w:rPr>
          <w:b/>
          <w:sz w:val="24"/>
        </w:rPr>
      </w:pPr>
      <w:r>
        <w:rPr>
          <w:b/>
          <w:sz w:val="24"/>
        </w:rPr>
        <w:t>ENRON POWER MARKETING, INC.</w:t>
      </w:r>
    </w:p>
    <w:p>
      <w:pPr>
        <w:pStyle w:val="Heading3"/>
        <w:pBdr>
          <w:top w:val="single" w:sz="4" w:space="1" w:color="000000" w:shadow="1"/>
          <w:left w:val="single" w:sz="4" w:space="4" w:color="000000" w:shadow="1"/>
          <w:bottom w:val="single" w:sz="4" w:space="5" w:color="000000" w:shadow="1"/>
          <w:right w:val="single" w:sz="4" w:space="4" w:color="000000" w:shadow="1"/>
        </w:pBdr>
        <w:shd w:fill="BFBFBF" w:val="clear"/>
        <w:ind w:hanging="0" w:start="0"/>
        <w:rPr>
          <w:b w:val="false"/>
          <w:sz w:val="22"/>
        </w:rPr>
      </w:pPr>
      <w:r>
        <w:rPr>
          <w:b w:val="false"/>
          <w:sz w:val="22"/>
        </w:rPr>
        <w:t>PROPOSAL TO</w:t>
      </w:r>
    </w:p>
    <w:p>
      <w:pPr>
        <w:pStyle w:val="Heading3"/>
        <w:pBdr>
          <w:top w:val="single" w:sz="4" w:space="1" w:color="000000" w:shadow="1"/>
          <w:left w:val="single" w:sz="4" w:space="4" w:color="000000" w:shadow="1"/>
          <w:bottom w:val="single" w:sz="4" w:space="5" w:color="000000" w:shadow="1"/>
          <w:right w:val="single" w:sz="4" w:space="4" w:color="000000" w:shadow="1"/>
        </w:pBdr>
        <w:shd w:fill="BFBFBF" w:val="clear"/>
        <w:ind w:hanging="0" w:start="0"/>
        <w:rPr>
          <w:b w:val="false"/>
          <w:sz w:val="22"/>
        </w:rPr>
      </w:pPr>
      <w:r>
        <w:rPr>
          <w:b w:val="false"/>
          <w:sz w:val="22"/>
        </w:rPr>
        <w:t>Black Hills – Pepperell Power Associates, Inc.</w:t>
      </w:r>
    </w:p>
    <w:p>
      <w:pPr>
        <w:pStyle w:val="Normal"/>
        <w:rPr>
          <w:b/>
          <w:sz w:val="24"/>
        </w:rPr>
      </w:pPr>
      <w:r>
        <w:rPr>
          <w:b/>
          <w:sz w:val="24"/>
        </w:rPr>
      </w:r>
    </w:p>
    <w:p>
      <w:pPr>
        <w:pStyle w:val="Normal"/>
        <w:rPr>
          <w:sz w:val="24"/>
        </w:rPr>
      </w:pPr>
      <w:r>
        <w:rPr>
          <w:sz w:val="24"/>
        </w:rPr>
      </w:r>
    </w:p>
    <w:p>
      <w:pPr>
        <w:pStyle w:val="Normal"/>
        <w:jc w:val="both"/>
        <w:rPr>
          <w:sz w:val="24"/>
        </w:rPr>
      </w:pPr>
      <w:r>
        <w:rPr>
          <w:sz w:val="24"/>
        </w:rPr>
        <w:t>Seller:</w:t>
        <w:tab/>
        <w:tab/>
        <w:tab/>
        <w:t>Black Hills - Pepperell Power Associates, Inc.</w:t>
      </w:r>
    </w:p>
    <w:p>
      <w:pPr>
        <w:pStyle w:val="Normal"/>
        <w:jc w:val="both"/>
        <w:rPr>
          <w:sz w:val="24"/>
        </w:rPr>
      </w:pPr>
      <w:r>
        <w:rPr>
          <w:sz w:val="24"/>
        </w:rPr>
      </w:r>
    </w:p>
    <w:p>
      <w:pPr>
        <w:pStyle w:val="Normal"/>
        <w:jc w:val="both"/>
        <w:rPr>
          <w:sz w:val="24"/>
        </w:rPr>
      </w:pPr>
      <w:r>
        <w:rPr>
          <w:sz w:val="24"/>
        </w:rPr>
        <w:t>Buyer:</w:t>
        <w:tab/>
        <w:tab/>
        <w:tab/>
        <w:t>Enron Power Marketing, Inc.</w:t>
      </w:r>
    </w:p>
    <w:p>
      <w:pPr>
        <w:pStyle w:val="Normal"/>
        <w:jc w:val="both"/>
        <w:rPr>
          <w:sz w:val="24"/>
        </w:rPr>
      </w:pPr>
      <w:r>
        <w:rPr>
          <w:sz w:val="24"/>
        </w:rPr>
      </w:r>
    </w:p>
    <w:p>
      <w:pPr>
        <w:pStyle w:val="Normal"/>
        <w:jc w:val="both"/>
        <w:rPr>
          <w:sz w:val="24"/>
        </w:rPr>
      </w:pPr>
      <w:r>
        <w:rPr>
          <w:sz w:val="24"/>
        </w:rPr>
        <w:t>Facility:</w:t>
        <w:tab/>
        <w:tab/>
        <w:t>Black Hills - Pepperell Facility</w:t>
      </w:r>
    </w:p>
    <w:p>
      <w:pPr>
        <w:pStyle w:val="Normal"/>
        <w:jc w:val="both"/>
        <w:rPr>
          <w:sz w:val="24"/>
        </w:rPr>
      </w:pPr>
      <w:r>
        <w:rPr>
          <w:sz w:val="24"/>
        </w:rPr>
      </w:r>
    </w:p>
    <w:p>
      <w:pPr>
        <w:pStyle w:val="Normal"/>
        <w:jc w:val="both"/>
        <w:rPr>
          <w:sz w:val="24"/>
        </w:rPr>
      </w:pPr>
      <w:r>
        <w:rPr>
          <w:sz w:val="24"/>
        </w:rPr>
        <w:t>Transaction</w:t>
      </w:r>
    </w:p>
    <w:p>
      <w:pPr>
        <w:pStyle w:val="Normal"/>
        <w:ind w:hanging="2160" w:start="2160" w:end="0"/>
        <w:jc w:val="both"/>
        <w:rPr>
          <w:sz w:val="24"/>
        </w:rPr>
      </w:pPr>
      <w:r>
        <w:rPr>
          <w:sz w:val="24"/>
        </w:rPr>
        <w:t>Structure:</w:t>
        <w:tab/>
        <w:t>Buyer and Seller will enter into a tolling agreement whereby Buyer is granted the right to dispatch Seller’s Facility in accordance with the terms and conditions of this proposal.  Buyer will be the sole beneficiary of any energy revenues associated with its requested dispatch of the Facility, including any energy uplift payments paid to the facility by the ISO-NE.</w:t>
      </w:r>
    </w:p>
    <w:p>
      <w:pPr>
        <w:pStyle w:val="Normal"/>
        <w:jc w:val="both"/>
        <w:rPr>
          <w:sz w:val="24"/>
        </w:rPr>
      </w:pPr>
      <w:r>
        <w:rPr>
          <w:sz w:val="24"/>
        </w:rPr>
      </w:r>
    </w:p>
    <w:p>
      <w:pPr>
        <w:pStyle w:val="Normal"/>
        <w:jc w:val="both"/>
        <w:rPr>
          <w:sz w:val="24"/>
        </w:rPr>
      </w:pPr>
      <w:r>
        <w:rPr>
          <w:sz w:val="24"/>
        </w:rPr>
        <w:t>Term:</w:t>
        <w:tab/>
        <w:tab/>
        <w:tab/>
        <w:t>January 1, 2001 through December 31, 2001</w:t>
      </w:r>
    </w:p>
    <w:p>
      <w:pPr>
        <w:pStyle w:val="Normal"/>
        <w:jc w:val="both"/>
        <w:rPr>
          <w:sz w:val="24"/>
        </w:rPr>
      </w:pPr>
      <w:r>
        <w:rPr>
          <w:sz w:val="24"/>
        </w:rPr>
      </w:r>
    </w:p>
    <w:p>
      <w:pPr>
        <w:pStyle w:val="Normal"/>
        <w:jc w:val="both"/>
        <w:rPr>
          <w:sz w:val="24"/>
        </w:rPr>
      </w:pPr>
      <w:r>
        <w:rPr>
          <w:sz w:val="24"/>
        </w:rPr>
        <w:t>Product:</w:t>
        <w:tab/>
        <w:tab/>
        <w:t>Financially-firm electrical Energy</w:t>
      </w:r>
    </w:p>
    <w:p>
      <w:pPr>
        <w:pStyle w:val="Normal"/>
        <w:jc w:val="both"/>
        <w:rPr>
          <w:sz w:val="24"/>
        </w:rPr>
      </w:pPr>
      <w:r>
        <w:rPr>
          <w:sz w:val="24"/>
        </w:rPr>
      </w:r>
    </w:p>
    <w:p>
      <w:pPr>
        <w:pStyle w:val="Normal"/>
        <w:jc w:val="both"/>
        <w:rPr>
          <w:sz w:val="24"/>
        </w:rPr>
      </w:pPr>
      <w:r>
        <w:rPr>
          <w:sz w:val="24"/>
        </w:rPr>
        <w:t>Capacity Rating:</w:t>
        <w:tab/>
        <w:t>35 MW Winter (January - April and November - December)</w:t>
      </w:r>
    </w:p>
    <w:p>
      <w:pPr>
        <w:pStyle w:val="Normal"/>
        <w:jc w:val="both"/>
        <w:rPr>
          <w:sz w:val="24"/>
        </w:rPr>
      </w:pPr>
      <w:r>
        <w:rPr>
          <w:sz w:val="24"/>
        </w:rPr>
        <w:tab/>
        <w:tab/>
        <w:tab/>
        <w:t>30 MW Summer (May - October)</w:t>
      </w:r>
    </w:p>
    <w:p>
      <w:pPr>
        <w:pStyle w:val="Normal"/>
        <w:jc w:val="both"/>
        <w:rPr>
          <w:sz w:val="24"/>
        </w:rPr>
      </w:pPr>
      <w:r>
        <w:rPr>
          <w:sz w:val="24"/>
        </w:rPr>
      </w:r>
    </w:p>
    <w:p>
      <w:pPr>
        <w:pStyle w:val="Normal"/>
        <w:jc w:val="both"/>
        <w:rPr>
          <w:sz w:val="24"/>
        </w:rPr>
      </w:pPr>
      <w:r>
        <w:rPr>
          <w:sz w:val="24"/>
        </w:rPr>
        <w:t>Dispatch</w:t>
      </w:r>
    </w:p>
    <w:p>
      <w:pPr>
        <w:pStyle w:val="Normal"/>
        <w:jc w:val="both"/>
        <w:rPr>
          <w:sz w:val="24"/>
        </w:rPr>
      </w:pPr>
      <w:r>
        <w:rPr>
          <w:sz w:val="24"/>
        </w:rPr>
        <w:t>Parameters:</w:t>
        <w:tab/>
        <w:tab/>
        <w:t>Facility is available for dispatch by Buyer for all hours during the Term</w:t>
      </w:r>
    </w:p>
    <w:p>
      <w:pPr>
        <w:pStyle w:val="Heading1"/>
        <w:ind w:hanging="0" w:start="0"/>
        <w:rPr/>
      </w:pPr>
      <w:r>
        <w:rPr/>
        <w:tab/>
        <w:tab/>
        <w:tab/>
        <w:t>Minimum run time is 6 consecutive hours</w:t>
      </w:r>
    </w:p>
    <w:p>
      <w:pPr>
        <w:pStyle w:val="Normal"/>
        <w:jc w:val="both"/>
        <w:rPr>
          <w:sz w:val="24"/>
        </w:rPr>
      </w:pPr>
      <w:r>
        <w:rPr>
          <w:sz w:val="24"/>
        </w:rPr>
        <w:tab/>
        <w:tab/>
        <w:tab/>
        <w:t>Maximum one start per 24 hour period</w:t>
      </w:r>
    </w:p>
    <w:p>
      <w:pPr>
        <w:pStyle w:val="Normal"/>
        <w:ind w:start="2160" w:end="0"/>
        <w:jc w:val="both"/>
        <w:rPr>
          <w:sz w:val="24"/>
        </w:rPr>
      </w:pPr>
      <w:r>
        <w:rPr>
          <w:sz w:val="24"/>
        </w:rPr>
        <w:t>Buyer must submit hourly energy bids and/or self-schedules (in applicable seasonal 35 or 30 MW per hour blocks) to Seller on day-ahead basis.</w:t>
      </w:r>
    </w:p>
    <w:p>
      <w:pPr>
        <w:pStyle w:val="Normal"/>
        <w:jc w:val="both"/>
        <w:rPr>
          <w:sz w:val="24"/>
        </w:rPr>
      </w:pPr>
      <w:r>
        <w:rPr>
          <w:sz w:val="24"/>
        </w:rPr>
      </w:r>
    </w:p>
    <w:p>
      <w:pPr>
        <w:pStyle w:val="Normal"/>
        <w:jc w:val="both"/>
        <w:rPr>
          <w:sz w:val="24"/>
        </w:rPr>
      </w:pPr>
      <w:r>
        <w:rPr>
          <w:sz w:val="24"/>
        </w:rPr>
        <w:t>Guaranteed</w:t>
      </w:r>
    </w:p>
    <w:p>
      <w:pPr>
        <w:pStyle w:val="Normal"/>
        <w:jc w:val="both"/>
        <w:rPr>
          <w:sz w:val="24"/>
        </w:rPr>
      </w:pPr>
      <w:r>
        <w:rPr>
          <w:sz w:val="24"/>
        </w:rPr>
        <w:t>Heat Rate:</w:t>
        <w:tab/>
        <w:tab/>
        <w:t>9,600 Btu/kWh –natural gas; 9,800 btu/kWh-#2 fuel oil</w:t>
      </w:r>
    </w:p>
    <w:p>
      <w:pPr>
        <w:pStyle w:val="Normal"/>
        <w:jc w:val="both"/>
        <w:rPr>
          <w:sz w:val="24"/>
        </w:rPr>
      </w:pPr>
      <w:r>
        <w:rPr>
          <w:sz w:val="24"/>
        </w:rPr>
      </w:r>
    </w:p>
    <w:p>
      <w:pPr>
        <w:pStyle w:val="Normal"/>
        <w:jc w:val="both"/>
        <w:rPr>
          <w:sz w:val="24"/>
        </w:rPr>
      </w:pPr>
      <w:r>
        <w:rPr>
          <w:sz w:val="24"/>
        </w:rPr>
        <w:t>Fixed Tolling</w:t>
      </w:r>
    </w:p>
    <w:p>
      <w:pPr>
        <w:pStyle w:val="Normal"/>
        <w:jc w:val="both"/>
        <w:rPr>
          <w:sz w:val="24"/>
        </w:rPr>
      </w:pPr>
      <w:r>
        <w:rPr>
          <w:sz w:val="24"/>
        </w:rPr>
        <w:t>Premium:</w:t>
        <w:tab/>
        <w:tab/>
        <w:t>$7.00/kW-month, based on applicable monthly Capacity Rating.</w:t>
      </w:r>
    </w:p>
    <w:p>
      <w:pPr>
        <w:pStyle w:val="Normal"/>
        <w:jc w:val="both"/>
        <w:rPr>
          <w:sz w:val="24"/>
        </w:rPr>
      </w:pPr>
      <w:r>
        <w:rPr>
          <w:sz w:val="24"/>
        </w:rPr>
      </w:r>
    </w:p>
    <w:p>
      <w:pPr>
        <w:pStyle w:val="Normal"/>
        <w:jc w:val="both"/>
        <w:rPr>
          <w:sz w:val="24"/>
        </w:rPr>
      </w:pPr>
      <w:r>
        <w:rPr>
          <w:sz w:val="24"/>
        </w:rPr>
        <w:t>Variable Tolling</w:t>
      </w:r>
    </w:p>
    <w:p>
      <w:pPr>
        <w:pStyle w:val="Normal"/>
        <w:jc w:val="both"/>
        <w:rPr>
          <w:sz w:val="24"/>
        </w:rPr>
      </w:pPr>
      <w:r>
        <w:rPr>
          <w:sz w:val="24"/>
        </w:rPr>
        <w:t>Fee:</w:t>
        <w:tab/>
        <w:tab/>
        <w:tab/>
        <w:t>$1.95/ MWh</w:t>
      </w:r>
    </w:p>
    <w:p>
      <w:pPr>
        <w:pStyle w:val="Normal"/>
        <w:jc w:val="both"/>
        <w:rPr>
          <w:sz w:val="24"/>
        </w:rPr>
      </w:pPr>
      <w:r>
        <w:rPr>
          <w:sz w:val="24"/>
        </w:rPr>
      </w:r>
    </w:p>
    <w:p>
      <w:pPr>
        <w:pStyle w:val="Normal"/>
        <w:ind w:hanging="2160" w:start="2160" w:end="0"/>
        <w:jc w:val="both"/>
        <w:rPr>
          <w:sz w:val="24"/>
        </w:rPr>
      </w:pPr>
      <w:r>
        <w:rPr>
          <w:sz w:val="24"/>
        </w:rPr>
        <w:t>Start-up Fee:</w:t>
        <w:tab/>
        <w:t>Seller will cover start-up costs, including fuel expenses.</w:t>
      </w:r>
    </w:p>
    <w:p>
      <w:pPr>
        <w:pStyle w:val="Normal"/>
        <w:jc w:val="both"/>
        <w:rPr>
          <w:sz w:val="24"/>
        </w:rPr>
      </w:pPr>
      <w:r>
        <w:rPr>
          <w:sz w:val="24"/>
        </w:rPr>
      </w:r>
    </w:p>
    <w:p>
      <w:pPr>
        <w:pStyle w:val="Normal"/>
        <w:jc w:val="both"/>
        <w:rPr>
          <w:sz w:val="24"/>
        </w:rPr>
      </w:pPr>
      <w:r>
        <w:rPr>
          <w:sz w:val="24"/>
        </w:rPr>
        <w:t>LDC Gas</w:t>
      </w:r>
    </w:p>
    <w:p>
      <w:pPr>
        <w:pStyle w:val="Normal"/>
        <w:ind w:hanging="2160" w:start="2160" w:end="0"/>
        <w:jc w:val="both"/>
        <w:rPr>
          <w:sz w:val="24"/>
        </w:rPr>
      </w:pPr>
      <w:r>
        <w:rPr>
          <w:sz w:val="24"/>
        </w:rPr>
        <w:t>Transport Firmness:</w:t>
        <w:tab/>
        <w:t>Seller will assume interruption risk on the Colonial system.  In the event gas service is interrupted on Colonial, and Buyer schedules plant dispatch, Seller will dispatch the facility on oil to maintain Buyer’s requested energy dispatch schedule.  Buyer will compensate Seller for dispatch fuel based on a mutually-agreed upon daily gas price index, less any penalties Buyer incurs as a result of Colonial not accepting Buyer’s gas for delivery to the burner tip.</w:t>
      </w:r>
    </w:p>
    <w:p>
      <w:pPr>
        <w:pStyle w:val="Normal"/>
        <w:jc w:val="both"/>
        <w:rPr>
          <w:sz w:val="24"/>
        </w:rPr>
      </w:pPr>
      <w:r>
        <w:rPr>
          <w:sz w:val="24"/>
        </w:rPr>
      </w:r>
    </w:p>
    <w:p>
      <w:pPr>
        <w:pStyle w:val="Normal"/>
        <w:ind w:hanging="2160" w:start="2160" w:end="0"/>
        <w:jc w:val="both"/>
        <w:rPr>
          <w:sz w:val="24"/>
        </w:rPr>
      </w:pPr>
      <w:r>
        <w:rPr>
          <w:sz w:val="24"/>
        </w:rPr>
        <w:t>Buyer's Fuel:</w:t>
        <w:tab/>
        <w:t xml:space="preserve">Buyer will provide all gas delivery for its scheduled power at the appropriate Colonial City Gate Point for contracted and/or required volumes. </w:t>
      </w:r>
    </w:p>
    <w:p>
      <w:pPr>
        <w:pStyle w:val="Normal"/>
        <w:ind w:hanging="2160" w:start="2160" w:end="0"/>
        <w:jc w:val="both"/>
        <w:rPr>
          <w:sz w:val="24"/>
        </w:rPr>
      </w:pPr>
      <w:r>
        <w:rPr>
          <w:sz w:val="24"/>
        </w:rPr>
      </w:r>
    </w:p>
    <w:p>
      <w:pPr>
        <w:pStyle w:val="Normal"/>
        <w:ind w:hanging="2160" w:start="2160" w:end="0"/>
        <w:jc w:val="both"/>
        <w:rPr>
          <w:sz w:val="24"/>
        </w:rPr>
      </w:pPr>
      <w:r>
        <w:rPr>
          <w:sz w:val="24"/>
        </w:rPr>
        <w:t>Back-up Oil Usage:</w:t>
        <w:tab/>
        <w:t>Buyer shall also have the right to utilize on site back up fuel oil, at its option.  Pricing for oil usage to be based on mutually agreed upon daily index for #2 oil, or Buyer may elect to physically supply 0.3% sulfur #2 oil at its own expense.  Oil usage shall be limited based on the on-site storage capability of 60 hours, and annual oil usage limit of 800 hours.</w:t>
      </w:r>
    </w:p>
    <w:p>
      <w:pPr>
        <w:pStyle w:val="Normal"/>
        <w:ind w:hanging="2160" w:start="2160" w:end="0"/>
        <w:jc w:val="both"/>
        <w:rPr>
          <w:sz w:val="24"/>
        </w:rPr>
      </w:pPr>
      <w:r>
        <w:rPr>
          <w:sz w:val="24"/>
        </w:rPr>
      </w:r>
    </w:p>
    <w:p>
      <w:pPr>
        <w:pStyle w:val="Normal"/>
        <w:ind w:hanging="2160" w:start="2160" w:end="0"/>
        <w:jc w:val="both"/>
        <w:rPr>
          <w:sz w:val="24"/>
        </w:rPr>
      </w:pPr>
      <w:r>
        <w:rPr>
          <w:sz w:val="24"/>
        </w:rPr>
        <w:t>Seller Dispatch</w:t>
      </w:r>
    </w:p>
    <w:p>
      <w:pPr>
        <w:pStyle w:val="Normal"/>
        <w:ind w:hanging="2160" w:start="2160" w:end="0"/>
        <w:jc w:val="both"/>
        <w:rPr/>
      </w:pPr>
      <w:r>
        <w:rPr>
          <w:sz w:val="24"/>
        </w:rPr>
        <w:t>of Facility:</w:t>
        <w:tab/>
        <w:t>In the event Buyer does not schedule off peak power from the Facility, and Seller chooses to run the Facility to mitigate next day startup wear and tear, Buyer will provide required fuel volumes (Seller's Gas), at Seller’s expense, at the Delivery Point.  Pricing for Seller’s Gas</w:t>
      </w:r>
      <w:r>
        <w:rPr>
          <w:sz w:val="24"/>
          <w:lang w:eastAsia="en-US"/>
        </w:rPr>
        <w:t xml:space="preserve"> used to dispatch Facility will be based on a mutually agreed upon day-ahead index</w:t>
      </w:r>
      <w:r>
        <w:rPr>
          <w:sz w:val="24"/>
        </w:rPr>
        <w:t>.</w:t>
      </w:r>
    </w:p>
    <w:p>
      <w:pPr>
        <w:pStyle w:val="Normal"/>
        <w:ind w:hanging="2160" w:start="2160" w:end="0"/>
        <w:jc w:val="both"/>
        <w:rPr>
          <w:sz w:val="24"/>
        </w:rPr>
      </w:pPr>
      <w:r>
        <w:rPr>
          <w:sz w:val="24"/>
        </w:rPr>
        <w:t xml:space="preserve"> </w:t>
      </w:r>
    </w:p>
    <w:p>
      <w:pPr>
        <w:pStyle w:val="Normal"/>
        <w:ind w:hanging="2160" w:start="2160" w:end="0"/>
        <w:jc w:val="both"/>
        <w:rPr>
          <w:sz w:val="24"/>
        </w:rPr>
      </w:pPr>
      <w:r>
        <w:rPr>
          <w:sz w:val="24"/>
        </w:rPr>
        <w:t>Seller Operation of</w:t>
      </w:r>
    </w:p>
    <w:p>
      <w:pPr>
        <w:pStyle w:val="Normal"/>
        <w:ind w:hanging="2160" w:start="2160" w:end="0"/>
        <w:jc w:val="both"/>
        <w:rPr>
          <w:sz w:val="24"/>
        </w:rPr>
      </w:pPr>
      <w:r>
        <w:rPr>
          <w:sz w:val="24"/>
        </w:rPr>
        <w:t xml:space="preserve">Auxiliary Steam </w:t>
      </w:r>
    </w:p>
    <w:p>
      <w:pPr>
        <w:pStyle w:val="Normal"/>
        <w:ind w:hanging="2160" w:start="2160" w:end="0"/>
        <w:jc w:val="both"/>
        <w:rPr>
          <w:sz w:val="24"/>
        </w:rPr>
      </w:pPr>
      <w:r>
        <w:rPr>
          <w:sz w:val="24"/>
        </w:rPr>
        <w:t>Boiler:</w:t>
        <w:tab/>
        <w:t>Seller will operate an auxiliary steam boiler at the same location of the Facility, and Buyer agrees to offer to supply Seller the gas required for operation of such boiler.  Seller will notify Buyer of its boiler gas requirements prior to the start of each month, and Buyer will quote Seller a mutually agreed upon monthly fixed price for such gas requirements.</w:t>
      </w:r>
    </w:p>
    <w:p>
      <w:pPr>
        <w:pStyle w:val="Normal"/>
        <w:ind w:hanging="2160" w:start="2160" w:end="0"/>
        <w:rPr>
          <w:sz w:val="24"/>
        </w:rPr>
      </w:pPr>
      <w:r>
        <w:rPr>
          <w:sz w:val="24"/>
        </w:rPr>
      </w:r>
    </w:p>
    <w:p>
      <w:pPr>
        <w:pStyle w:val="Normal"/>
        <w:ind w:hanging="2160" w:start="2160" w:end="0"/>
        <w:rPr>
          <w:sz w:val="24"/>
        </w:rPr>
      </w:pPr>
      <w:r>
        <w:rPr>
          <w:sz w:val="24"/>
        </w:rPr>
        <w:t>LDC Balancing</w:t>
      </w:r>
    </w:p>
    <w:p>
      <w:pPr>
        <w:pStyle w:val="Normal"/>
        <w:ind w:hanging="2160" w:start="2160" w:end="0"/>
        <w:rPr>
          <w:sz w:val="24"/>
        </w:rPr>
      </w:pPr>
      <w:r>
        <w:rPr>
          <w:sz w:val="24"/>
        </w:rPr>
        <w:t>Requirements:</w:t>
        <w:tab/>
        <w:t>Buyer will be responsible for balancing on the Colonial system for gas volumes associated only with plant dispatch, and any penalties associated with its failure to take or deliver gas associated with its requested dispatch of the Facility.  Such balancing will be in accordance with the terms and conditions set forth in Seller’s interruptible transportation agreement with Colonial.</w:t>
      </w:r>
    </w:p>
    <w:p>
      <w:pPr>
        <w:pStyle w:val="Normal"/>
        <w:ind w:hanging="2160" w:start="2160" w:end="0"/>
        <w:rPr>
          <w:sz w:val="24"/>
        </w:rPr>
      </w:pPr>
      <w:r>
        <w:rPr>
          <w:sz w:val="24"/>
        </w:rPr>
      </w:r>
    </w:p>
    <w:p>
      <w:pPr>
        <w:pStyle w:val="Normal"/>
        <w:ind w:hanging="2160" w:start="2160" w:end="0"/>
        <w:jc w:val="both"/>
        <w:rPr>
          <w:sz w:val="24"/>
        </w:rPr>
      </w:pPr>
      <w:r>
        <w:rPr>
          <w:sz w:val="24"/>
        </w:rPr>
        <w:t>Gas Delivery Point:</w:t>
        <w:tab/>
        <w:t>Colonial Citygate. Buyer will be responsible for the $0.10/mmBtu variable cost on Colonial for its gas deliveries to the burnertip.</w:t>
      </w:r>
    </w:p>
    <w:p>
      <w:pPr>
        <w:pStyle w:val="Normal"/>
        <w:jc w:val="both"/>
        <w:rPr>
          <w:sz w:val="24"/>
        </w:rPr>
      </w:pPr>
      <w:r>
        <w:rPr>
          <w:sz w:val="24"/>
        </w:rPr>
      </w:r>
    </w:p>
    <w:p>
      <w:pPr>
        <w:pStyle w:val="Normal"/>
        <w:jc w:val="both"/>
        <w:rPr>
          <w:sz w:val="24"/>
        </w:rPr>
      </w:pPr>
      <w:r>
        <w:rPr>
          <w:sz w:val="24"/>
        </w:rPr>
        <w:t>Electric Delivery</w:t>
      </w:r>
    </w:p>
    <w:p>
      <w:pPr>
        <w:pStyle w:val="Normal"/>
        <w:ind w:hanging="2160" w:start="2160" w:end="0"/>
        <w:jc w:val="both"/>
        <w:rPr>
          <w:sz w:val="24"/>
        </w:rPr>
      </w:pPr>
      <w:r>
        <w:rPr>
          <w:sz w:val="24"/>
        </w:rPr>
        <w:t>Point:</w:t>
        <w:tab/>
        <w:t>NEPOOL PTF – Seller responsible for all delivery-related costs up to the PTF.</w:t>
      </w:r>
    </w:p>
    <w:p>
      <w:pPr>
        <w:pStyle w:val="Normal"/>
        <w:jc w:val="both"/>
        <w:rPr>
          <w:sz w:val="24"/>
        </w:rPr>
      </w:pPr>
      <w:r>
        <w:rPr>
          <w:sz w:val="24"/>
        </w:rPr>
      </w:r>
    </w:p>
    <w:p>
      <w:pPr>
        <w:pStyle w:val="Normal"/>
        <w:ind w:hanging="2160" w:start="2160" w:end="0"/>
        <w:jc w:val="both"/>
        <w:rPr>
          <w:sz w:val="24"/>
        </w:rPr>
      </w:pPr>
      <w:r>
        <w:rPr>
          <w:sz w:val="24"/>
        </w:rPr>
        <w:t>Scheduling and</w:t>
      </w:r>
    </w:p>
    <w:p>
      <w:pPr>
        <w:pStyle w:val="Normal"/>
        <w:ind w:hanging="2160" w:start="2160" w:end="0"/>
        <w:jc w:val="both"/>
        <w:rPr>
          <w:sz w:val="24"/>
        </w:rPr>
      </w:pPr>
      <w:r>
        <w:rPr>
          <w:sz w:val="24"/>
        </w:rPr>
        <w:t>Coordination:</w:t>
        <w:tab/>
        <w:t>Buyer to schedule gas requirements with relevant parties in accordance with industry practice. Seller is responsible for bidding and/or self-scheduling the Facility with the ISO-NE in order to accommodate Buyer’s requested energy bidding/schedule.  Buyer and the Facility plant manager will communicate on an as needed basis prior to each day to coordinate gas and electric scheduling for the following day.  Attachment A provides a more detailed description of the intended procedures for gas purchasing/scheduling and Facility dispatch.</w:t>
      </w:r>
    </w:p>
    <w:p>
      <w:pPr>
        <w:pStyle w:val="Normal"/>
        <w:jc w:val="both"/>
        <w:rPr>
          <w:sz w:val="24"/>
        </w:rPr>
      </w:pPr>
      <w:r>
        <w:rPr>
          <w:sz w:val="24"/>
        </w:rPr>
      </w:r>
    </w:p>
    <w:p>
      <w:pPr>
        <w:pStyle w:val="Header"/>
        <w:tabs>
          <w:tab w:val="clear" w:pos="4320"/>
          <w:tab w:val="clear" w:pos="8640"/>
        </w:tabs>
        <w:ind w:hanging="2160" w:start="2160" w:end="0"/>
        <w:jc w:val="both"/>
        <w:rPr>
          <w:sz w:val="24"/>
        </w:rPr>
      </w:pPr>
      <w:r>
        <w:rPr>
          <w:sz w:val="24"/>
        </w:rPr>
        <w:t>Buyer Contact:</w:t>
        <w:tab/>
        <w:t>Questions or communications regarding this proposal shall be directed to the following contact:</w:t>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tab/>
        <w:tab/>
        <w:tab/>
        <w:t>Mr. John C. Llodra</w:t>
      </w:r>
    </w:p>
    <w:p>
      <w:pPr>
        <w:pStyle w:val="Header"/>
        <w:tabs>
          <w:tab w:val="clear" w:pos="4320"/>
          <w:tab w:val="clear" w:pos="8640"/>
        </w:tabs>
        <w:jc w:val="both"/>
        <w:rPr>
          <w:sz w:val="24"/>
        </w:rPr>
      </w:pPr>
      <w:r>
        <w:rPr>
          <w:sz w:val="24"/>
        </w:rPr>
        <w:tab/>
        <w:tab/>
        <w:tab/>
        <w:t>Manager, East Power Trading</w:t>
      </w:r>
    </w:p>
    <w:p>
      <w:pPr>
        <w:pStyle w:val="Header"/>
        <w:tabs>
          <w:tab w:val="clear" w:pos="4320"/>
          <w:tab w:val="clear" w:pos="8640"/>
        </w:tabs>
        <w:jc w:val="both"/>
        <w:rPr>
          <w:sz w:val="24"/>
        </w:rPr>
      </w:pPr>
      <w:r>
        <w:rPr>
          <w:sz w:val="24"/>
        </w:rPr>
        <w:tab/>
        <w:tab/>
        <w:tab/>
        <w:t>Enron North America</w:t>
      </w:r>
    </w:p>
    <w:p>
      <w:pPr>
        <w:pStyle w:val="Header"/>
        <w:tabs>
          <w:tab w:val="clear" w:pos="4320"/>
          <w:tab w:val="clear" w:pos="8640"/>
        </w:tabs>
        <w:jc w:val="both"/>
        <w:rPr>
          <w:sz w:val="24"/>
        </w:rPr>
      </w:pPr>
      <w:r>
        <w:rPr>
          <w:sz w:val="24"/>
        </w:rPr>
        <w:tab/>
        <w:tab/>
        <w:tab/>
        <w:t>82 Smith Street</w:t>
      </w:r>
    </w:p>
    <w:p>
      <w:pPr>
        <w:pStyle w:val="Header"/>
        <w:tabs>
          <w:tab w:val="clear" w:pos="4320"/>
          <w:tab w:val="clear" w:pos="8640"/>
        </w:tabs>
        <w:jc w:val="both"/>
        <w:rPr>
          <w:sz w:val="24"/>
        </w:rPr>
      </w:pPr>
      <w:r>
        <w:rPr>
          <w:sz w:val="24"/>
        </w:rPr>
        <w:tab/>
        <w:tab/>
        <w:tab/>
        <w:t>Groton, MA  01450</w:t>
      </w:r>
    </w:p>
    <w:p>
      <w:pPr>
        <w:pStyle w:val="Header"/>
        <w:tabs>
          <w:tab w:val="clear" w:pos="4320"/>
          <w:tab w:val="clear" w:pos="8640"/>
        </w:tabs>
        <w:jc w:val="both"/>
        <w:rPr>
          <w:sz w:val="24"/>
        </w:rPr>
      </w:pPr>
      <w:r>
        <w:rPr>
          <w:sz w:val="24"/>
        </w:rPr>
        <w:tab/>
        <w:tab/>
        <w:tab/>
        <w:t>Phone:  978-449-9936</w:t>
        <w:tab/>
      </w:r>
    </w:p>
    <w:p>
      <w:pPr>
        <w:pStyle w:val="Header"/>
        <w:tabs>
          <w:tab w:val="clear" w:pos="4320"/>
          <w:tab w:val="clear" w:pos="8640"/>
        </w:tabs>
        <w:jc w:val="both"/>
        <w:rPr>
          <w:sz w:val="24"/>
        </w:rPr>
      </w:pPr>
      <w:r>
        <w:rPr>
          <w:sz w:val="24"/>
        </w:rPr>
        <w:tab/>
        <w:tab/>
        <w:tab/>
        <w:t>Fax:</w:t>
        <w:tab/>
        <w:t>978-449-9937</w:t>
        <w:tab/>
      </w:r>
    </w:p>
    <w:p>
      <w:pPr>
        <w:pStyle w:val="Header"/>
        <w:tabs>
          <w:tab w:val="clear" w:pos="4320"/>
          <w:tab w:val="clear" w:pos="8640"/>
        </w:tabs>
        <w:jc w:val="both"/>
        <w:rPr>
          <w:sz w:val="24"/>
        </w:rPr>
      </w:pPr>
      <w:r>
        <w:rPr>
          <w:sz w:val="24"/>
        </w:rPr>
        <w:tab/>
        <w:tab/>
        <w:tab/>
        <w:t xml:space="preserve">Cell:  </w:t>
        <w:tab/>
        <w:t>978-314-5614</w:t>
      </w:r>
    </w:p>
    <w:p>
      <w:pPr>
        <w:pStyle w:val="Header"/>
        <w:tabs>
          <w:tab w:val="clear" w:pos="4320"/>
          <w:tab w:val="clear" w:pos="8640"/>
        </w:tabs>
        <w:jc w:val="both"/>
        <w:rPr>
          <w:sz w:val="24"/>
        </w:rPr>
      </w:pPr>
      <w:r>
        <w:rPr>
          <w:sz w:val="24"/>
        </w:rPr>
        <w:tab/>
        <w:tab/>
        <w:tab/>
        <w:t>Pager:  877-246-3206</w:t>
      </w:r>
    </w:p>
    <w:p>
      <w:pPr>
        <w:pStyle w:val="Header"/>
        <w:tabs>
          <w:tab w:val="clear" w:pos="4320"/>
          <w:tab w:val="clear" w:pos="8640"/>
        </w:tabs>
        <w:jc w:val="both"/>
        <w:rPr>
          <w:sz w:val="24"/>
        </w:rPr>
      </w:pPr>
      <w:r>
        <w:rPr>
          <w:sz w:val="24"/>
        </w:rPr>
        <w:tab/>
        <w:tab/>
        <w:tab/>
        <w:t>Email:  John.Llodra@enron.com</w:t>
      </w:r>
    </w:p>
    <w:p>
      <w:pPr>
        <w:pStyle w:val="Normal"/>
        <w:rPr>
          <w:sz w:val="24"/>
        </w:rPr>
      </w:pPr>
      <w:r>
        <w:rPr>
          <w:sz w:val="24"/>
        </w:rPr>
      </w:r>
    </w:p>
    <w:sectPr>
      <w:footerReference w:type="default" r:id="rId2"/>
      <w:type w:val="nextPage"/>
      <w:pgSz w:w="12240" w:h="15840"/>
      <w:pgMar w:left="1440" w:right="1440" w:gutter="0" w:header="0" w:top="16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i/>
        <w:i/>
      </w:rPr>
    </w:pPr>
    <w:r>
      <w:rPr>
        <w:i/>
      </w:rPr>
      <w:t>All terms and conditions of this proposal are confidential between Buyer and Seller and their duly appointed agents.  The costs assumed in this proposal are subject to movement during the time period during which Buyer will evaluate this proposal.  This proposal is for discussion purposes only and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Footer"/>
      <w:rPr/>
    </w:pPr>
    <w:r>
      <w:rPr>
        <w:i/>
      </w:rPr>
      <w:tab/>
      <w:tab/>
    </w:r>
    <w:r>
      <w:rPr>
        <w:i/>
      </w:rPr>
      <w:fldChar w:fldCharType="begin"/>
    </w:r>
    <w:r>
      <w:rPr>
        <w:i/>
      </w:rPr>
      <w:instrText xml:space="preserve"> DATE \@"MM\/dd\/yy" </w:instrText>
    </w:r>
    <w:r>
      <w:rPr>
        <w:i/>
      </w:rPr>
      <w:fldChar w:fldCharType="separate"/>
    </w:r>
    <w:r>
      <w:rPr>
        <w:i/>
      </w:rPr>
      <w:t>09/28/25</w:t>
    </w:r>
    <w:r>
      <w:rPr>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outlineLvl w:val="1"/>
    </w:pPr>
    <w:rPr>
      <w:b/>
      <w:i/>
      <w:u w:val="single"/>
    </w:rPr>
  </w:style>
  <w:style w:type="paragraph" w:styleId="Heading3">
    <w:name w:val="heading 3"/>
    <w:basedOn w:val="Normal"/>
    <w:next w:val="Normal"/>
    <w:qFormat/>
    <w:pPr>
      <w:keepNext w:val="true"/>
      <w:numPr>
        <w:ilvl w:val="2"/>
        <w:numId w:val="1"/>
      </w:numPr>
      <w:pBdr>
        <w:top w:val="single" w:sz="4" w:space="1" w:color="000000"/>
        <w:left w:val="single" w:sz="4" w:space="4" w:color="000000"/>
        <w:bottom w:val="single" w:sz="4" w:space="1" w:color="000000"/>
        <w:right w:val="single" w:sz="4" w:space="4" w:color="000000"/>
      </w:pBdr>
      <w:jc w:val="center"/>
      <w:outlineLvl w:val="2"/>
    </w:pPr>
    <w:rPr>
      <w:b/>
      <w:sz w:val="28"/>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2000-10-25T19:31:00Z</dcterms:created>
  <dc:creator>Peter E. Doering</dc:creator>
  <dc:description/>
  <dc:language>en-CA</dc:language>
  <cp:lastModifiedBy>logistics</cp:lastModifiedBy>
  <cp:lastPrinted>2000-10-25T17:01:00Z</cp:lastPrinted>
  <dcterms:modified xsi:type="dcterms:W3CDTF">2000-10-25T19:31:00Z</dcterms:modified>
  <cp:revision>2</cp:revision>
  <dc:subject/>
  <dc:title>Facility:</dc:title>
</cp:coreProperties>
</file>