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February 4, 2000</w:t>
      </w:r>
    </w:p>
    <w:p>
      <w:pPr>
        <w:pStyle w:val="Normal"/>
        <w:jc w:val="center"/>
        <w:rPr>
          <w:sz w:val="22"/>
        </w:rPr>
      </w:pPr>
      <w:r>
        <w:rPr>
          <w:sz w:val="22"/>
        </w:rPr>
      </w:r>
    </w:p>
    <w:p>
      <w:pPr>
        <w:pStyle w:val="Normal"/>
        <w:jc w:val="center"/>
        <w:rPr>
          <w:sz w:val="22"/>
        </w:rPr>
      </w:pPr>
      <w:r>
        <w:rPr>
          <w:sz w:val="22"/>
        </w:rPr>
      </w:r>
    </w:p>
    <w:p>
      <w:pPr>
        <w:pStyle w:val="Normal"/>
        <w:jc w:val="center"/>
        <w:rPr>
          <w:b/>
          <w:sz w:val="22"/>
        </w:rPr>
      </w:pPr>
      <w:r>
        <w:rPr>
          <w:b/>
          <w:sz w:val="22"/>
        </w:rPr>
        <w:t>CONFIDENTIAL</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Peoples Energy Corporation</w:t>
      </w:r>
    </w:p>
    <w:p>
      <w:pPr>
        <w:pStyle w:val="Normal"/>
        <w:rPr>
          <w:sz w:val="22"/>
        </w:rPr>
      </w:pPr>
      <w:r>
        <w:rPr>
          <w:sz w:val="22"/>
        </w:rPr>
        <w:t>Peoples Energy Resources Company</w:t>
      </w:r>
    </w:p>
    <w:p>
      <w:pPr>
        <w:pStyle w:val="Normal"/>
        <w:rPr>
          <w:sz w:val="22"/>
        </w:rPr>
      </w:pPr>
      <w:r>
        <w:rPr>
          <w:sz w:val="22"/>
        </w:rPr>
        <w:t>130 East Randolph Drive</w:t>
      </w:r>
    </w:p>
    <w:p>
      <w:pPr>
        <w:pStyle w:val="Normal"/>
        <w:rPr>
          <w:sz w:val="22"/>
        </w:rPr>
      </w:pPr>
      <w:r>
        <w:rPr>
          <w:sz w:val="22"/>
        </w:rPr>
        <w:t>Chicago, Illinois  60601</w:t>
      </w:r>
    </w:p>
    <w:p>
      <w:pPr>
        <w:pStyle w:val="Normal"/>
        <w:rPr>
          <w:sz w:val="22"/>
        </w:rPr>
      </w:pPr>
      <w:r>
        <w:rPr>
          <w:sz w:val="22"/>
        </w:rPr>
        <w:t>Attn.:  Tom Patrick</w:t>
      </w:r>
    </w:p>
    <w:p>
      <w:pPr>
        <w:pStyle w:val="Normal"/>
        <w:jc w:val="both"/>
        <w:rPr>
          <w:sz w:val="22"/>
        </w:rPr>
      </w:pPr>
      <w:r>
        <w:rPr>
          <w:sz w:val="22"/>
        </w:rPr>
      </w:r>
    </w:p>
    <w:p>
      <w:pPr>
        <w:pStyle w:val="Normal"/>
        <w:jc w:val="both"/>
        <w:rPr>
          <w:sz w:val="22"/>
        </w:rPr>
      </w:pPr>
      <w:r>
        <w:rPr>
          <w:sz w:val="22"/>
        </w:rPr>
      </w:r>
    </w:p>
    <w:p>
      <w:pPr>
        <w:pStyle w:val="Normal"/>
        <w:jc w:val="center"/>
        <w:rPr>
          <w:b/>
          <w:sz w:val="22"/>
        </w:rPr>
      </w:pPr>
      <w:r>
        <w:rPr>
          <w:b/>
          <w:sz w:val="22"/>
        </w:rPr>
        <w:t>Letter of Intent</w:t>
      </w:r>
    </w:p>
    <w:p>
      <w:pPr>
        <w:pStyle w:val="Normal"/>
        <w:jc w:val="center"/>
        <w:rPr>
          <w:b/>
          <w:sz w:val="22"/>
        </w:rPr>
      </w:pPr>
      <w:r>
        <w:rPr>
          <w:b/>
          <w:sz w:val="22"/>
        </w:rPr>
        <w:t>Joint Power Generation Project Development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ab/>
        <w:t>This letter (this "</w:t>
      </w:r>
      <w:r>
        <w:rPr>
          <w:sz w:val="22"/>
          <w:u w:val="single"/>
        </w:rPr>
        <w:t>Letter</w:t>
      </w:r>
      <w:r>
        <w:rPr>
          <w:sz w:val="22"/>
        </w:rPr>
        <w:t>"), when executed, will evidence (a) the current mutual intent of Enron North America Corp. ("</w:t>
      </w:r>
      <w:r>
        <w:rPr>
          <w:sz w:val="22"/>
          <w:u w:val="single"/>
        </w:rPr>
        <w:t>ENA</w:t>
      </w:r>
      <w:r>
        <w:rPr>
          <w:sz w:val="22"/>
        </w:rPr>
        <w:t>") and Peoples Energy Resources Company ("</w:t>
      </w:r>
      <w:r>
        <w:rPr>
          <w:sz w:val="22"/>
          <w:u w:val="single"/>
        </w:rPr>
        <w:t>PERC</w:t>
      </w:r>
      <w:r>
        <w:rPr>
          <w:sz w:val="22"/>
        </w:rPr>
        <w:t>") to enter into a power plant  development program through one or more jointly owned limited liability companies for the development of one or more electric power generation facilities (one or more, the "</w:t>
      </w:r>
      <w:r>
        <w:rPr>
          <w:sz w:val="22"/>
          <w:u w:val="single"/>
        </w:rPr>
        <w:t>Facility</w:t>
      </w:r>
      <w:r>
        <w:rPr>
          <w:sz w:val="22"/>
        </w:rPr>
        <w:t>") at one or more development sites located in Illinois, including in or near Chicago that meet the financial returns required by each of PERC and ENA (the development program itself is hereinafter referred to as the "</w:t>
      </w:r>
      <w:r>
        <w:rPr>
          <w:sz w:val="22"/>
          <w:u w:val="single"/>
        </w:rPr>
        <w:t>Proposed Transaction</w:t>
      </w:r>
      <w:r>
        <w:rPr>
          <w:sz w:val="22"/>
        </w:rPr>
        <w:t>"), and (b) the agreement of ENA and PERC as to responsibility for expenses, confidentiality, exclusivity and certain other matters, as set forth in the agreement ("</w:t>
      </w:r>
      <w:r>
        <w:rPr>
          <w:sz w:val="22"/>
          <w:u w:val="single"/>
        </w:rPr>
        <w:t>Agreement</w:t>
      </w:r>
      <w:r>
        <w:rPr>
          <w:sz w:val="22"/>
        </w:rPr>
        <w:t xml:space="preserve">") in </w:t>
      </w:r>
      <w:r>
        <w:rPr>
          <w:sz w:val="22"/>
          <w:u w:val="single"/>
        </w:rPr>
        <w:t>Article II</w:t>
      </w:r>
      <w:r>
        <w:rPr>
          <w:sz w:val="22"/>
        </w:rPr>
        <w:t xml:space="preserve"> below.  ENA and PERC are sometimes referred to individually as a "</w:t>
      </w:r>
      <w:r>
        <w:rPr>
          <w:sz w:val="22"/>
          <w:u w:val="single"/>
        </w:rPr>
        <w:t>Party</w:t>
      </w:r>
      <w:r>
        <w:rPr>
          <w:sz w:val="22"/>
        </w:rPr>
        <w:t>" and collectively as the "</w:t>
      </w:r>
      <w:r>
        <w:rPr>
          <w:sz w:val="22"/>
          <w:u w:val="single"/>
        </w:rPr>
        <w:t>Parties</w:t>
      </w:r>
      <w:r>
        <w:rPr>
          <w:sz w:val="22"/>
        </w:rPr>
        <w:t>."</w:t>
      </w:r>
    </w:p>
    <w:p>
      <w:pPr>
        <w:pStyle w:val="Normal"/>
        <w:jc w:val="both"/>
        <w:rPr>
          <w:sz w:val="22"/>
        </w:rPr>
      </w:pPr>
      <w:r>
        <w:rPr>
          <w:sz w:val="22"/>
        </w:rPr>
      </w:r>
    </w:p>
    <w:p>
      <w:pPr>
        <w:pStyle w:val="Normal"/>
        <w:jc w:val="both"/>
        <w:rPr/>
      </w:pPr>
      <w:r>
        <w:rPr>
          <w:sz w:val="22"/>
        </w:rPr>
        <w:tab/>
        <w:t>The Parties entered into a confidentiality agreement dated as of November 23, 1999 (the "</w:t>
      </w:r>
      <w:r>
        <w:rPr>
          <w:sz w:val="22"/>
          <w:u w:val="single"/>
        </w:rPr>
        <w:t>Confidentiality Agreement</w:t>
      </w:r>
      <w:r>
        <w:rPr>
          <w:sz w:val="22"/>
        </w:rPr>
        <w:t xml:space="preserve">").  This Letter does not supersede nor does it replace the agreements of the Parties set forth in the Confidentiality Agreement, the terms and conditions of which remain in full force and effect as among the parties thereto, except as, and only to the extent, such terms and conditions may be, as between ENA and PERC, expressly modified by the Agreement set forth in </w:t>
      </w:r>
      <w:r>
        <w:rPr>
          <w:sz w:val="22"/>
          <w:u w:val="single"/>
        </w:rPr>
        <w:t>Article II</w:t>
      </w:r>
      <w:r>
        <w:rPr>
          <w:sz w:val="22"/>
        </w:rPr>
        <w:t xml:space="preserve"> of this Letter.</w:t>
      </w:r>
    </w:p>
    <w:p>
      <w:pPr>
        <w:pStyle w:val="Normal"/>
        <w:jc w:val="both"/>
        <w:rPr>
          <w:sz w:val="22"/>
        </w:rPr>
      </w:pPr>
      <w:r>
        <w:rPr>
          <w:sz w:val="22"/>
        </w:rPr>
      </w:r>
    </w:p>
    <w:p>
      <w:pPr>
        <w:pStyle w:val="Normal"/>
        <w:jc w:val="both"/>
        <w:rPr/>
      </w:pPr>
      <w:r>
        <w:rPr>
          <w:sz w:val="22"/>
        </w:rPr>
        <w:tab/>
        <w:t xml:space="preserve">This Letter is intended to set forth certain basic terms of the understanding reached to date and to serve as a basis for further discussions and negotiations between the Parties with respect to the Proposed Transaction.  The matters set forth in </w:t>
      </w:r>
      <w:r>
        <w:rPr>
          <w:sz w:val="22"/>
          <w:u w:val="single"/>
        </w:rPr>
        <w:t>Article I</w:t>
      </w:r>
      <w:r>
        <w:rPr>
          <w:sz w:val="22"/>
        </w:rPr>
        <w:t xml:space="preserve"> are not intended to, and do not, constitute a binding agreement of the Parties, or an offer to enter into a binding agreement, with respect to the Proposed Transaction or otherwise.  Any such binding agreement will only arise upon the negotiation, execution and delivery of mutually satisfactory definitive agreements ("</w:t>
      </w:r>
      <w:r>
        <w:rPr>
          <w:sz w:val="22"/>
          <w:u w:val="single"/>
        </w:rPr>
        <w:t>Definitive Agreements</w:t>
      </w:r>
      <w:r>
        <w:rPr>
          <w:sz w:val="22"/>
        </w:rPr>
        <w:t xml:space="preserve">") and the satisfaction of the conditions set forth therein, including the approval of such agreements and the Proposed Transaction by the Board of Directors of ENA and the Board of Directors or authorized officers of PERC.  The matters set forth in the Agreement in </w:t>
      </w:r>
      <w:r>
        <w:rPr>
          <w:sz w:val="22"/>
          <w:u w:val="single"/>
        </w:rPr>
        <w:t>Article II</w:t>
      </w:r>
      <w:r>
        <w:rPr>
          <w:sz w:val="22"/>
        </w:rPr>
        <w:t xml:space="preserve"> of this Letter are the only matters intended to, and which do, constitute binding agreements of the Parties.</w:t>
      </w:r>
    </w:p>
    <w:p>
      <w:pPr>
        <w:pStyle w:val="Normal"/>
        <w:jc w:val="both"/>
        <w:rPr>
          <w:sz w:val="22"/>
        </w:rPr>
      </w:pPr>
      <w:r>
        <w:rPr>
          <w:sz w:val="22"/>
        </w:rPr>
      </w:r>
    </w:p>
    <w:p>
      <w:pPr>
        <w:pStyle w:val="Normal"/>
        <w:keepNext w:val="true"/>
        <w:keepLines/>
        <w:jc w:val="center"/>
        <w:rPr>
          <w:b/>
          <w:sz w:val="22"/>
        </w:rPr>
      </w:pPr>
      <w:r>
        <w:rPr>
          <w:b/>
          <w:sz w:val="22"/>
        </w:rPr>
        <w:t>Article I</w:t>
      </w:r>
    </w:p>
    <w:p>
      <w:pPr>
        <w:pStyle w:val="Normal"/>
        <w:keepNext w:val="true"/>
        <w:keepLines/>
        <w:jc w:val="center"/>
        <w:rPr>
          <w:sz w:val="22"/>
          <w:u w:val="single"/>
        </w:rPr>
      </w:pPr>
      <w:r>
        <w:rPr>
          <w:b/>
          <w:sz w:val="22"/>
          <w:u w:val="single"/>
        </w:rPr>
        <w:t xml:space="preserve">Non-Binding Statement of Intent </w:t>
      </w:r>
    </w:p>
    <w:p>
      <w:pPr>
        <w:pStyle w:val="Normal"/>
        <w:keepNext w:val="true"/>
        <w:keepLines/>
        <w:jc w:val="both"/>
        <w:rPr>
          <w:sz w:val="22"/>
          <w:u w:val="single"/>
        </w:rPr>
      </w:pPr>
      <w:r>
        <w:rPr>
          <w:sz w:val="22"/>
          <w:u w:val="single"/>
        </w:rPr>
      </w:r>
    </w:p>
    <w:p>
      <w:pPr>
        <w:pStyle w:val="Normal"/>
        <w:keepNext w:val="true"/>
        <w:keepLines/>
        <w:jc w:val="both"/>
        <w:rPr>
          <w:sz w:val="22"/>
        </w:rPr>
      </w:pPr>
      <w:r>
        <w:rPr>
          <w:sz w:val="22"/>
        </w:rPr>
        <w:tab/>
        <w:t>The Parties intend to proceed with discussions and negotiations with respect to matters relating to the Proposed Transaction subject to the following non-binding preliminary terms and conditions:</w:t>
      </w:r>
    </w:p>
    <w:p>
      <w:pPr>
        <w:pStyle w:val="Normal"/>
        <w:jc w:val="both"/>
        <w:rPr>
          <w:sz w:val="22"/>
        </w:rPr>
      </w:pPr>
      <w:r>
        <w:rPr>
          <w:sz w:val="22"/>
        </w:rPr>
      </w:r>
    </w:p>
    <w:p>
      <w:pPr>
        <w:pStyle w:val="Normal"/>
        <w:ind w:firstLine="720" w:end="0"/>
        <w:jc w:val="both"/>
        <w:rPr/>
      </w:pPr>
      <w:r>
        <w:rPr>
          <w:b/>
          <w:sz w:val="22"/>
        </w:rPr>
        <w:tab/>
      </w:r>
      <w:r>
        <w:rPr>
          <w:sz w:val="22"/>
        </w:rPr>
        <w:t xml:space="preserve"> </w:t>
      </w:r>
    </w:p>
    <w:p>
      <w:pPr>
        <w:pStyle w:val="Normal"/>
        <w:jc w:val="both"/>
        <w:rPr>
          <w:sz w:val="22"/>
        </w:rPr>
      </w:pPr>
      <w:r>
        <w:rPr>
          <w:b/>
          <w:sz w:val="22"/>
        </w:rPr>
        <w:tab/>
        <w:t>1.</w:t>
        <w:tab/>
        <w:t>Joint Ownership of  Project Company.</w:t>
      </w:r>
    </w:p>
    <w:p>
      <w:pPr>
        <w:pStyle w:val="Normal"/>
        <w:ind w:firstLine="720" w:end="0"/>
        <w:jc w:val="both"/>
        <w:rPr>
          <w:sz w:val="22"/>
        </w:rPr>
      </w:pPr>
      <w:r>
        <w:rPr>
          <w:sz w:val="22"/>
        </w:rPr>
      </w:r>
    </w:p>
    <w:p>
      <w:pPr>
        <w:pStyle w:val="Normal"/>
        <w:jc w:val="both"/>
        <w:rPr/>
      </w:pPr>
      <w:r>
        <w:rPr>
          <w:sz w:val="22"/>
        </w:rPr>
        <w:tab/>
        <w:t>(a)</w:t>
        <w:tab/>
        <w:t>ENA and PERC will pursue a joint power plant development program for the purpose of developing from approximately 600 to 1000 MW of natural gas fired generation at various sites in Illinois, including sites in or near Chicago (“Development Program”). Each project to be developed pursuant to the Development Program will be subject to Board of Directors approval of each Party.  The Parties anticipate that each Facility to be developed pursuant to the Development Program would be owned by a special-purpose entity (the "</w:t>
      </w:r>
      <w:r>
        <w:rPr>
          <w:sz w:val="22"/>
          <w:u w:val="single"/>
        </w:rPr>
        <w:t>Project Company</w:t>
      </w:r>
      <w:r>
        <w:rPr>
          <w:sz w:val="22"/>
        </w:rPr>
        <w:t>") which initially will be 50% owned by ENA or its designated affiliate and 50% owned by PERC or its designated affiliate, provided that the designated affiliate selected by a Party is not regulated as a public utility under Illinois law.  At this time, it is anticipated that the Project Company would be constituted as a member-managed Delaware limited liability company, pursuant to a mutually agreeable limited liability company agreement (the "</w:t>
      </w:r>
      <w:r>
        <w:rPr>
          <w:sz w:val="22"/>
          <w:u w:val="single"/>
        </w:rPr>
        <w:t>Ownership Agreement</w:t>
      </w:r>
      <w:r>
        <w:rPr>
          <w:sz w:val="22"/>
        </w:rPr>
        <w:t xml:space="preserve">").  ENA will be the Managing Member of each Project Company with primary responsibility for the successful development of each project.  The Project Company would have a Board of Directors (“Board”) consisting of one individual from each of ENA and PERC and ENA will provide weekly or other mutually agreeable periodic updates to the Board on the progress of each Project. As Managing Member, ENA will appoint a General Manager to lead the development of each project.  PERC will identify individuals to work with the General Manager and his/her team to develop the projects and to address day-to-day operational matters, act as a liaison with the operator of the Facility and other service providers or vendors, report to the Board as necessary or advisable, and perform other duties as determined by the Board. </w:t>
      </w:r>
    </w:p>
    <w:p>
      <w:pPr>
        <w:pStyle w:val="Normal"/>
        <w:jc w:val="both"/>
        <w:rPr>
          <w:sz w:val="22"/>
        </w:rPr>
      </w:pPr>
      <w:r>
        <w:rPr>
          <w:sz w:val="22"/>
        </w:rPr>
      </w:r>
    </w:p>
    <w:p>
      <w:pPr>
        <w:pStyle w:val="Normal"/>
        <w:jc w:val="both"/>
        <w:rPr/>
      </w:pPr>
      <w:r>
        <w:rPr>
          <w:sz w:val="22"/>
        </w:rPr>
        <w:tab/>
        <w:t>(b)</w:t>
        <w:tab/>
        <w:t>The capital contributions and distributions of income of each owner of an equity interest in the Project Company (each an "</w:t>
      </w:r>
      <w:r>
        <w:rPr>
          <w:sz w:val="22"/>
          <w:u w:val="single"/>
        </w:rPr>
        <w:t>Owner</w:t>
      </w:r>
      <w:r>
        <w:rPr>
          <w:sz w:val="22"/>
        </w:rPr>
        <w:t>") would be proportionate to such Owner’s equity interest in the Project Company.  Initially, however, ENA will contribute two (2) ABB 11 N 1 (70 MW per turbine) and six (6) GE LM6000 (47 MW per turbine) natural gas fired turbines to the Development Program.  Both ABB 11 N 1 turbines are currently in the possession of ENA and the GE LM 6000 turbines will be available for an anticipated start date of December 2000.  Operating characteristics of the ABB units and the LM 6000 turbines will be made available for PERC’s review.   ENA will also contribute its Plano, Illinois site as developed to date.  Initially, PERC will contribute all of its rights to two (2) ABB 11 N 2 (120 MW per turbine) natural gas fired turbines to the Project Company.  In addition, PERC will contribute the Calumet and Torrence sites through a long-term lease to the applicable Project Company.  The assets to be contributed by each of the Parties will be at their cost.</w:t>
      </w:r>
    </w:p>
    <w:p>
      <w:pPr>
        <w:pStyle w:val="Normal"/>
        <w:jc w:val="both"/>
        <w:rPr>
          <w:sz w:val="22"/>
        </w:rPr>
      </w:pPr>
      <w:r>
        <w:rPr>
          <w:sz w:val="22"/>
        </w:rPr>
      </w:r>
    </w:p>
    <w:p>
      <w:pPr>
        <w:pStyle w:val="BodyText"/>
        <w:rPr/>
      </w:pPr>
      <w:r>
        <w:rPr/>
        <w:tab/>
        <w:t>(c)</w:t>
        <w:tab/>
        <w:t>The development expenses of each Facility will be capitalized in the Project Company for such Facility.</w:t>
      </w:r>
    </w:p>
    <w:p>
      <w:pPr>
        <w:pStyle w:val="Normal"/>
        <w:jc w:val="both"/>
        <w:rPr>
          <w:sz w:val="22"/>
        </w:rPr>
      </w:pPr>
      <w:r>
        <w:rPr>
          <w:sz w:val="22"/>
        </w:rPr>
      </w:r>
    </w:p>
    <w:p>
      <w:pPr>
        <w:pStyle w:val="Normal"/>
        <w:jc w:val="both"/>
        <w:rPr>
          <w:sz w:val="22"/>
        </w:rPr>
      </w:pPr>
      <w:r>
        <w:rPr>
          <w:sz w:val="22"/>
        </w:rPr>
        <w:tab/>
        <w:t>(d)</w:t>
        <w:tab/>
        <w:t>The Parties will negotiate the definitive agreements for the Development Program and the Ownership Agreements for each Project Company in good faith and incorporate the applicable terms hereof, although this Letter is not intended to be a complete statement of all of the terms and conditions to be included in the Ownership Agreement or any other Definitive Agreements between the Parties.</w:t>
      </w:r>
    </w:p>
    <w:p>
      <w:pPr>
        <w:pStyle w:val="Normal"/>
        <w:jc w:val="both"/>
        <w:rPr>
          <w:sz w:val="22"/>
        </w:rPr>
      </w:pPr>
      <w:r>
        <w:rPr>
          <w:sz w:val="22"/>
        </w:rPr>
      </w:r>
    </w:p>
    <w:p>
      <w:pPr>
        <w:pStyle w:val="Normal"/>
        <w:jc w:val="both"/>
        <w:rPr/>
      </w:pPr>
      <w:r>
        <w:rPr>
          <w:b/>
          <w:sz w:val="22"/>
        </w:rPr>
        <w:tab/>
        <w:t>2.</w:t>
      </w:r>
      <w:r>
        <w:rPr>
          <w:sz w:val="22"/>
        </w:rPr>
        <w:tab/>
      </w:r>
      <w:r>
        <w:rPr>
          <w:b/>
          <w:sz w:val="22"/>
        </w:rPr>
        <w:t>Each Party’s Right to Provide Goods and Services.</w:t>
      </w:r>
      <w:r>
        <w:rPr>
          <w:sz w:val="22"/>
        </w:rPr>
        <w:t xml:space="preserve"> ENA will provide energy marketing and trading services to the Project Companies and either Party may provide (or arrange for an affiliate to provide) goods and services to the Project Company in connection with the Proposed Transaction at market rates, terms and conditions mutually agreeable to the Parties and negotiated on an arms-length basis. The primary consideration in selecting the provider(s) of such goods and services would be the best interests of the Project Company.</w:t>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u w:val="single"/>
        </w:rPr>
      </w:pPr>
      <w:r>
        <w:rPr>
          <w:b/>
          <w:sz w:val="22"/>
          <w:u w:val="single"/>
        </w:rPr>
        <w:t>Binding Agreements</w:t>
      </w:r>
    </w:p>
    <w:p>
      <w:pPr>
        <w:pStyle w:val="Normal"/>
        <w:jc w:val="both"/>
        <w:rPr>
          <w:b/>
          <w:sz w:val="22"/>
          <w:u w:val="single"/>
        </w:rPr>
      </w:pPr>
      <w:r>
        <w:rPr>
          <w:b/>
          <w:sz w:val="22"/>
          <w:u w:val="single"/>
        </w:rPr>
      </w:r>
    </w:p>
    <w:p>
      <w:pPr>
        <w:pStyle w:val="Normal"/>
        <w:ind w:end="360"/>
        <w:jc w:val="both"/>
        <w:rPr/>
      </w:pPr>
      <w:r>
        <w:rPr>
          <w:b/>
          <w:sz w:val="22"/>
        </w:rPr>
        <w:tab/>
        <w:t>1.</w:t>
        <w:tab/>
        <w:t>Confidentiality.</w:t>
      </w:r>
      <w:r>
        <w:rPr>
          <w:sz w:val="22"/>
        </w:rPr>
        <w:t xml:space="preserve">   This Letter, its contents, the Development Program, any proposals developed pursuant to this Letter, and any other information provided by a Party to the other Party relating to the Proposed Transaction are intended to be confidential, and are hereby deemed Confidential Information within the meaning of the Confidentiality Agreement.  </w:t>
      </w:r>
    </w:p>
    <w:p>
      <w:pPr>
        <w:pStyle w:val="Normal"/>
        <w:jc w:val="both"/>
        <w:rPr>
          <w:sz w:val="22"/>
        </w:rPr>
      </w:pPr>
      <w:r>
        <w:rPr>
          <w:sz w:val="22"/>
        </w:rPr>
      </w:r>
    </w:p>
    <w:p>
      <w:pPr>
        <w:pStyle w:val="Normal"/>
        <w:jc w:val="both"/>
        <w:rPr>
          <w:b/>
          <w:sz w:val="22"/>
        </w:rPr>
      </w:pPr>
      <w:r>
        <w:rPr>
          <w:b/>
          <w:sz w:val="22"/>
        </w:rPr>
        <w:tab/>
        <w:t>2.</w:t>
        <w:tab/>
        <w:t>Exclusive Negotiations</w:t>
      </w:r>
      <w:r>
        <w:rPr>
          <w:sz w:val="22"/>
        </w:rPr>
        <w:t>.   This Letter shall be effective until the earlier of (a) execution of Definitive Agreements, or (b) June 1, 2000 or any subsequent date mutually agreed to by the Parties in writing (the "</w:t>
      </w:r>
      <w:r>
        <w:rPr>
          <w:sz w:val="22"/>
          <w:u w:val="single"/>
        </w:rPr>
        <w:t>Termination Date</w:t>
      </w:r>
      <w:r>
        <w:rPr>
          <w:sz w:val="22"/>
        </w:rPr>
        <w:t xml:space="preserve">"), in consideration of the substantial expenditures of time, effort and expenses undertaken and to be undertaken by the Parties in order to prepare documents and perform other tasks and undertakings in relation to the Proposed Transaction.  During the period from the Effective Date to the Termination Date (the “Exclusivity Period”), the Parties (x) shall negotiate exclusively with each other with respect to the Development Program, Definitive Agreements and all terms and conditions of the Proposed Transaction and (y) shall not solicit, make or accept any offers or proposals by third parties to undertake or enter into the Proposed Transaction.  If, prior to the Parties' execution of Definitive Agreements or the Termination Date, </w:t>
      </w:r>
      <w:r>
        <w:rPr>
          <w:spacing w:val="-3"/>
          <w:sz w:val="22"/>
        </w:rPr>
        <w:t>a Party gives notice to the other Party that it will not participate in the Proposed Transaction, then the non-withdrawing Party shall be free to pursue the Proposed Transaction, by itself or with any third party, and the withdrawing Party shall not compete with the non-withdrawing Party for the Proposed Transaction until the Termination Date.</w:t>
      </w:r>
    </w:p>
    <w:p>
      <w:pPr>
        <w:pStyle w:val="Normal"/>
        <w:jc w:val="both"/>
        <w:rPr>
          <w:b/>
          <w:sz w:val="22"/>
        </w:rPr>
      </w:pPr>
      <w:r>
        <w:rPr>
          <w:b/>
          <w:sz w:val="22"/>
        </w:rPr>
      </w:r>
    </w:p>
    <w:p>
      <w:pPr>
        <w:pStyle w:val="Normal"/>
        <w:jc w:val="both"/>
        <w:rPr/>
      </w:pPr>
      <w:r>
        <w:rPr>
          <w:sz w:val="22"/>
        </w:rPr>
        <w:tab/>
      </w:r>
      <w:r>
        <w:rPr>
          <w:b/>
          <w:sz w:val="22"/>
        </w:rPr>
        <w:t>3.</w:t>
        <w:tab/>
        <w:t>Expenses.</w:t>
      </w:r>
      <w:r>
        <w:rPr>
          <w:sz w:val="22"/>
        </w:rPr>
        <w:t xml:space="preserve">  Unless otherwise agreed in writing, each Party shall bear all of its own internal expenses for services relating to evaluation of the Proposed Transaction, negotiation of the Definitive Agreements, and other matters related to the Proposed Transaction.  Expenses for the goods or services of non-related parties (i.e., parties other than ENA, PERC or any affiliate of either of them), third party vendors, consultants or advisors shall be borne 50/50 by the Parties provided that such third-party expenses are set forth in a development budget that has been approved in writing by the Parties (the "</w:t>
      </w:r>
      <w:r>
        <w:rPr>
          <w:sz w:val="22"/>
          <w:u w:val="single"/>
        </w:rPr>
        <w:t>Approved Development Budget</w:t>
      </w:r>
      <w:r>
        <w:rPr>
          <w:sz w:val="22"/>
        </w:rPr>
        <w:t xml:space="preserve">"), including all site work to date on Calumet, Torrence and Plano.  All development expenses for the Proposed Transaction contemplated in the Approved Development Budget shall be shared 50/50 by the Parties, unless the Parties agree otherwise. </w:t>
      </w:r>
    </w:p>
    <w:p>
      <w:pPr>
        <w:pStyle w:val="Normal"/>
        <w:jc w:val="both"/>
        <w:rPr>
          <w:sz w:val="22"/>
        </w:rPr>
      </w:pPr>
      <w:r>
        <w:rPr>
          <w:sz w:val="22"/>
        </w:rPr>
      </w:r>
    </w:p>
    <w:p>
      <w:pPr>
        <w:pStyle w:val="Normal"/>
        <w:jc w:val="both"/>
        <w:rPr/>
      </w:pPr>
      <w:r>
        <w:rPr>
          <w:b/>
          <w:sz w:val="22"/>
        </w:rPr>
        <w:tab/>
        <w:t>4.</w:t>
        <w:tab/>
        <w:t>Development Fee.</w:t>
      </w:r>
      <w:r>
        <w:rPr>
          <w:sz w:val="22"/>
        </w:rPr>
        <w:t xml:space="preserve">   ENA will pay PERC a development fee of $1.0 million in recognition of PERC’s development work done to date to be paid as follows:  $250,000 upon execution of this Agreement and the remainder to be equally split and paid (a) on the date the Ownership Agreements are executed for the Project Companies and (b) the date of financial closing of construction for the first project in the Development Program.  ENA will affect payment of the Development Fee by wire transfer.</w:t>
      </w:r>
    </w:p>
    <w:p>
      <w:pPr>
        <w:pStyle w:val="Normal"/>
        <w:jc w:val="both"/>
        <w:rPr>
          <w:b/>
          <w:sz w:val="22"/>
        </w:rPr>
      </w:pPr>
      <w:r>
        <w:rPr>
          <w:b/>
          <w:sz w:val="22"/>
        </w:rPr>
      </w:r>
    </w:p>
    <w:p>
      <w:pPr>
        <w:pStyle w:val="Normal"/>
        <w:jc w:val="both"/>
        <w:rPr/>
      </w:pPr>
      <w:r>
        <w:rPr>
          <w:b/>
          <w:sz w:val="22"/>
        </w:rPr>
        <w:tab/>
        <w:t>5.</w:t>
        <w:tab/>
        <w:t>Representations and Warranties.</w:t>
      </w:r>
      <w:r>
        <w:rPr>
          <w:sz w:val="22"/>
        </w:rPr>
        <w:t xml:space="preserve">   Each Party hereby represents and warrants to the other Party that the Agreement set forth in this </w:t>
      </w:r>
      <w:r>
        <w:rPr>
          <w:sz w:val="22"/>
          <w:u w:val="single"/>
        </w:rPr>
        <w:t>Article II</w:t>
      </w:r>
      <w:r>
        <w:rPr>
          <w:sz w:val="22"/>
        </w:rPr>
        <w:t xml:space="preserve"> (a) has been validly executed and delivered, (b) has been duly authorized by all action necessary for the authorization hereof, and (c) is the legal, valid and binding obligation of such Party, enforceable in accordance with its terms.  </w:t>
      </w:r>
    </w:p>
    <w:p>
      <w:pPr>
        <w:pStyle w:val="Normal"/>
        <w:jc w:val="both"/>
        <w:rPr>
          <w:b/>
          <w:sz w:val="22"/>
        </w:rPr>
      </w:pPr>
      <w:r>
        <w:rPr>
          <w:b/>
          <w:sz w:val="22"/>
        </w:rPr>
      </w:r>
    </w:p>
    <w:p>
      <w:pPr>
        <w:pStyle w:val="Normal"/>
        <w:jc w:val="both"/>
        <w:rPr/>
      </w:pPr>
      <w:r>
        <w:rPr>
          <w:b/>
          <w:sz w:val="22"/>
        </w:rPr>
        <w:tab/>
        <w:t>6.</w:t>
        <w:tab/>
      </w:r>
      <w:r>
        <w:rPr>
          <w:b/>
          <w:color w:val="000000"/>
          <w:spacing w:val="-2"/>
          <w:sz w:val="22"/>
        </w:rPr>
        <w:t>No Restraints on the Parties.</w:t>
      </w:r>
      <w:r>
        <w:rPr>
          <w:color w:val="000000"/>
          <w:spacing w:val="-2"/>
          <w:sz w:val="22"/>
        </w:rPr>
        <w:t xml:space="preserve">   Except as otherwise expressly agreed in this </w:t>
      </w:r>
      <w:r>
        <w:rPr>
          <w:color w:val="000000"/>
          <w:spacing w:val="-2"/>
          <w:sz w:val="22"/>
          <w:u w:val="single"/>
        </w:rPr>
        <w:t>Article II</w:t>
      </w:r>
      <w:r>
        <w:rPr>
          <w:color w:val="000000"/>
          <w:spacing w:val="-2"/>
          <w:sz w:val="22"/>
        </w:rPr>
        <w:t xml:space="preserve">, this Letter shall not in any way act as a restraint on any present or future business activities or investments of a Party or its respective affiliates whether or not such activity could be construed to be competitive with the Facility.  Except as otherwise expressly agreed in this </w:t>
      </w:r>
      <w:r>
        <w:rPr>
          <w:color w:val="000000"/>
          <w:spacing w:val="-2"/>
          <w:sz w:val="22"/>
          <w:u w:val="single"/>
        </w:rPr>
        <w:t>Article II</w:t>
      </w:r>
      <w:r>
        <w:rPr>
          <w:color w:val="000000"/>
          <w:spacing w:val="-2"/>
          <w:sz w:val="22"/>
        </w:rPr>
        <w:t xml:space="preserve">, no Party shall, under any circumstances, be obligated or bound to offer or present to the other Party any business opportunity presented or offered to such Party as a prerequisite to the acquisition of, or investment in, such business opportunity by such Party for its own account or for the account of others.  Except as otherwise expressly agreed in this </w:t>
      </w:r>
      <w:r>
        <w:rPr>
          <w:color w:val="000000"/>
          <w:spacing w:val="-2"/>
          <w:sz w:val="22"/>
          <w:u w:val="single"/>
        </w:rPr>
        <w:t>Article II</w:t>
      </w:r>
      <w:r>
        <w:rPr>
          <w:color w:val="000000"/>
          <w:spacing w:val="-2"/>
          <w:sz w:val="22"/>
        </w:rPr>
        <w:t xml:space="preserve">, neither Party shall have any rights by virtue of this Letter in any business venture of the other Party or its affiliates. </w:t>
      </w:r>
    </w:p>
    <w:p>
      <w:pPr>
        <w:pStyle w:val="Normal"/>
        <w:ind w:firstLine="720" w:end="0"/>
        <w:jc w:val="both"/>
        <w:rPr>
          <w:color w:val="000000"/>
          <w:spacing w:val="-2"/>
          <w:sz w:val="22"/>
        </w:rPr>
      </w:pPr>
      <w:r>
        <w:rPr>
          <w:color w:val="000000"/>
          <w:spacing w:val="-2"/>
          <w:sz w:val="22"/>
        </w:rPr>
      </w:r>
    </w:p>
    <w:p>
      <w:pPr>
        <w:pStyle w:val="Normal"/>
        <w:jc w:val="both"/>
        <w:rPr/>
      </w:pPr>
      <w:r>
        <w:rPr>
          <w:b/>
          <w:sz w:val="22"/>
        </w:rPr>
        <w:tab/>
        <w:t>7.</w:t>
        <w:tab/>
        <w:t>Management Approvals.</w:t>
      </w:r>
      <w:r>
        <w:rPr>
          <w:sz w:val="22"/>
        </w:rPr>
        <w:t xml:space="preserve">   No Party shall be bound to enter into the Proposed Transaction until (a) the Board of Directors of ENA and the Board of Directors of PERC and each Party’s authorized officer(s) shall have approved the Proposed Transaction, (b) such Party shall have executed the Definitive Agreements, and (c) all other necessary third party consents and conditions precedent to the effectiveness of any such Definitive Agreements shall have been received or satisfied, including the obtaining of any and all requisite regulatory orders or approvals which are satisfactory in form and substance to the Parties.</w:t>
      </w:r>
    </w:p>
    <w:p>
      <w:pPr>
        <w:pStyle w:val="Normal"/>
        <w:jc w:val="both"/>
        <w:rPr>
          <w:b/>
          <w:sz w:val="22"/>
        </w:rPr>
      </w:pPr>
      <w:r>
        <w:rPr>
          <w:b/>
          <w:sz w:val="22"/>
        </w:rPr>
      </w:r>
    </w:p>
    <w:p>
      <w:pPr>
        <w:pStyle w:val="Normal"/>
        <w:jc w:val="both"/>
        <w:rPr/>
      </w:pPr>
      <w:r>
        <w:rPr>
          <w:spacing w:val="-3"/>
          <w:sz w:val="22"/>
        </w:rPr>
        <w:tab/>
      </w:r>
      <w:r>
        <w:rPr>
          <w:b/>
          <w:spacing w:val="-3"/>
          <w:sz w:val="22"/>
        </w:rPr>
        <w:t>8.</w:t>
        <w:tab/>
        <w:t>Relationship of the Parties.</w:t>
      </w:r>
      <w:r>
        <w:rPr>
          <w:spacing w:val="-3"/>
          <w:sz w:val="22"/>
        </w:rPr>
        <w:t xml:space="preserve">   </w:t>
      </w:r>
      <w:r>
        <w:rPr>
          <w:sz w:val="22"/>
        </w:rPr>
        <w:t xml:space="preserve">This Letter shall neither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the Agreement set forth in this </w:t>
      </w:r>
      <w:r>
        <w:rPr>
          <w:sz w:val="22"/>
          <w:u w:val="single"/>
        </w:rPr>
        <w:t>Article II</w:t>
      </w:r>
      <w:r>
        <w:rPr>
          <w:sz w:val="22"/>
        </w:rPr>
        <w:t xml:space="preserve">.  No Party shall have the legal or equitable power or authority, express or implied, to act on behalf of, or to bind, the other Party or its affiliates without such other Party’s or affiliates’ prior written consent and instruction to take a specific action on their behalf.  No Party shall make any express or implied representation to other persons or entities that could reasonably be construed or interpreted as indicating that any relationship exists between the Parties and their affiliates other than that relationship provided for in this </w:t>
      </w:r>
      <w:r>
        <w:rPr>
          <w:sz w:val="22"/>
          <w:u w:val="single"/>
        </w:rPr>
        <w:t>Paragraph 8</w:t>
      </w:r>
      <w:r>
        <w:rPr>
          <w:sz w:val="22"/>
        </w:rPr>
        <w:t xml:space="preserve"> of </w:t>
      </w:r>
      <w:r>
        <w:rPr>
          <w:sz w:val="22"/>
          <w:u w:val="single"/>
        </w:rPr>
        <w:t>Article II</w:t>
      </w:r>
      <w:r>
        <w:rPr>
          <w:sz w:val="22"/>
        </w:rPr>
        <w:t>.</w:t>
      </w:r>
    </w:p>
    <w:p>
      <w:pPr>
        <w:pStyle w:val="Normal"/>
        <w:jc w:val="both"/>
        <w:rPr>
          <w:b/>
          <w:sz w:val="22"/>
        </w:rPr>
      </w:pPr>
      <w:r>
        <w:rPr>
          <w:b/>
          <w:sz w:val="22"/>
        </w:rPr>
      </w:r>
    </w:p>
    <w:p>
      <w:pPr>
        <w:pStyle w:val="Normal"/>
        <w:jc w:val="both"/>
        <w:rPr/>
      </w:pPr>
      <w:r>
        <w:rPr>
          <w:b/>
          <w:sz w:val="22"/>
        </w:rPr>
        <w:tab/>
        <w:t>9.</w:t>
        <w:tab/>
        <w:t>Entire Agreement.</w:t>
      </w:r>
      <w:r>
        <w:rPr>
          <w:sz w:val="22"/>
        </w:rPr>
        <w:t xml:space="preserve">   The Agreement set forth in this </w:t>
      </w:r>
      <w:r>
        <w:rPr>
          <w:sz w:val="22"/>
          <w:u w:val="single"/>
        </w:rPr>
        <w:t>Article II</w:t>
      </w:r>
      <w:r>
        <w:rPr>
          <w:sz w:val="22"/>
        </w:rPr>
        <w:t xml:space="preserve">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w:t>
      </w:r>
    </w:p>
    <w:p>
      <w:pPr>
        <w:pStyle w:val="Normal"/>
        <w:jc w:val="both"/>
        <w:rPr>
          <w:sz w:val="22"/>
        </w:rPr>
      </w:pPr>
      <w:r>
        <w:rPr>
          <w:sz w:val="22"/>
        </w:rPr>
      </w:r>
    </w:p>
    <w:p>
      <w:pPr>
        <w:pStyle w:val="Normal"/>
        <w:jc w:val="both"/>
        <w:rPr/>
      </w:pPr>
      <w:r>
        <w:rPr>
          <w:sz w:val="22"/>
        </w:rPr>
        <w:tab/>
      </w:r>
      <w:r>
        <w:rPr>
          <w:b/>
          <w:sz w:val="22"/>
        </w:rPr>
        <w:t>10.</w:t>
        <w:tab/>
        <w:t>Governing Law.</w:t>
      </w:r>
      <w:r>
        <w:rPr>
          <w:sz w:val="22"/>
        </w:rPr>
        <w:t xml:space="preserve">   THIS LETTER SHALL BE GOVERNED BY AND CONSTRUED IN ACCORDANCE WITH THE LAWS OF THE STATE OF ILLINOIS, WITHOUT GIVING EFFECT TO PRINCIPLES OF CONFLICTS-OF-LAWS.</w:t>
      </w:r>
    </w:p>
    <w:p>
      <w:pPr>
        <w:pStyle w:val="Normal"/>
        <w:jc w:val="both"/>
        <w:rPr>
          <w:sz w:val="22"/>
        </w:rPr>
      </w:pPr>
      <w:r>
        <w:rPr>
          <w:sz w:val="22"/>
        </w:rPr>
      </w:r>
    </w:p>
    <w:p>
      <w:pPr>
        <w:pStyle w:val="Normal"/>
        <w:jc w:val="both"/>
        <w:rPr/>
      </w:pPr>
      <w:r>
        <w:rPr>
          <w:sz w:val="22"/>
        </w:rPr>
        <w:tab/>
      </w:r>
      <w:r>
        <w:rPr>
          <w:b/>
          <w:sz w:val="22"/>
        </w:rPr>
        <w:t>11.</w:t>
        <w:tab/>
        <w:t>Independent Contractor; Use of Names.</w:t>
      </w:r>
      <w:r>
        <w:rPr>
          <w:sz w:val="22"/>
        </w:rPr>
        <w:t xml:space="preserve">   Each Party and its representatives shall be an independent contractor with respect to the services to be performed by it pursuant to this Letter, and no Party shall be deemed to be the servant, employee or agent of any other Party.  No Party shall have the right to utilize the other Party’s name in connection with this Letter or otherwise without the prior written consent of such Party.</w:t>
      </w:r>
    </w:p>
    <w:p>
      <w:pPr>
        <w:pStyle w:val="Normal"/>
        <w:jc w:val="both"/>
        <w:rPr>
          <w:sz w:val="22"/>
        </w:rPr>
      </w:pPr>
      <w:r>
        <w:rPr>
          <w:sz w:val="22"/>
        </w:rPr>
      </w:r>
    </w:p>
    <w:p>
      <w:pPr>
        <w:pStyle w:val="Normal"/>
        <w:jc w:val="both"/>
        <w:rPr/>
      </w:pPr>
      <w:r>
        <w:rPr>
          <w:sz w:val="22"/>
        </w:rPr>
        <w:tab/>
      </w:r>
      <w:r>
        <w:rPr>
          <w:b/>
          <w:sz w:val="22"/>
        </w:rPr>
        <w:t>12.</w:t>
        <w:tab/>
        <w:t>Assignment.</w:t>
      </w:r>
      <w:r>
        <w:rPr>
          <w:sz w:val="22"/>
        </w:rPr>
        <w:t xml:space="preserve">   Neither the Agreement set forth in this </w:t>
      </w:r>
      <w:r>
        <w:rPr>
          <w:sz w:val="22"/>
          <w:u w:val="single"/>
        </w:rPr>
        <w:t>Article II</w:t>
      </w:r>
      <w:r>
        <w:rPr>
          <w:sz w:val="22"/>
        </w:rPr>
        <w:t xml:space="preserve"> nor any rights or obligations under this </w:t>
      </w:r>
      <w:r>
        <w:rPr>
          <w:sz w:val="22"/>
          <w:u w:val="single"/>
        </w:rPr>
        <w:t>Article II</w:t>
      </w:r>
      <w:r>
        <w:rPr>
          <w:sz w:val="22"/>
        </w:rPr>
        <w:t xml:space="preserve"> shall be assigned or transferred in any way whatsoever by any Party except (a) to any affiliate of such Party, or (b) to a Party’s designee for financing purposes, or (c) with the prior written consent of the other Party, which consent such Party shall be under no obligation to grant.  Subject to the preceding sentence, the Agreement set forth in this </w:t>
      </w:r>
      <w:r>
        <w:rPr>
          <w:sz w:val="22"/>
          <w:u w:val="single"/>
        </w:rPr>
        <w:t>Article II</w:t>
      </w:r>
      <w:r>
        <w:rPr>
          <w:sz w:val="22"/>
        </w:rPr>
        <w:t xml:space="preserve"> shall be binding on and inure to the benefit of the Parties hereto and their respective successors and permitted assigns.</w:t>
      </w:r>
    </w:p>
    <w:p>
      <w:pPr>
        <w:pStyle w:val="Normal"/>
        <w:jc w:val="both"/>
        <w:rPr>
          <w:sz w:val="22"/>
        </w:rPr>
      </w:pPr>
      <w:r>
        <w:rPr>
          <w:sz w:val="22"/>
        </w:rPr>
      </w:r>
    </w:p>
    <w:p>
      <w:pPr>
        <w:pStyle w:val="Normal"/>
        <w:jc w:val="both"/>
        <w:rPr/>
      </w:pPr>
      <w:r>
        <w:rPr>
          <w:b/>
          <w:sz w:val="22"/>
        </w:rPr>
        <w:tab/>
        <w:t>13.</w:t>
        <w:tab/>
        <w:t>Notice of Certain Events; Change in Condition</w:t>
      </w:r>
      <w:r>
        <w:rPr>
          <w:sz w:val="22"/>
        </w:rPr>
        <w:t>.  ENA and PERC shall promptly give written notice to the other upon becoming aware of:</w:t>
      </w:r>
    </w:p>
    <w:p>
      <w:pPr>
        <w:pStyle w:val="Normal"/>
        <w:jc w:val="both"/>
        <w:rPr>
          <w:sz w:val="22"/>
        </w:rPr>
      </w:pPr>
      <w:r>
        <w:rPr>
          <w:sz w:val="22"/>
        </w:rPr>
      </w:r>
    </w:p>
    <w:p>
      <w:pPr>
        <w:pStyle w:val="Normal"/>
        <w:jc w:val="both"/>
        <w:rPr/>
      </w:pPr>
      <w:r>
        <w:rPr>
          <w:sz w:val="22"/>
        </w:rPr>
        <w:tab/>
        <w:t>(a)</w:t>
        <w:tab/>
        <w:t xml:space="preserve">The impending or threatened occurrences of any event which could reasonably be expected to cause or constitute a breach of any provision of the Agreement in this </w:t>
      </w:r>
      <w:r>
        <w:rPr>
          <w:sz w:val="22"/>
          <w:u w:val="single"/>
        </w:rPr>
        <w:t>Article II</w:t>
      </w:r>
      <w:r>
        <w:rPr>
          <w:sz w:val="22"/>
        </w:rPr>
        <w:t>; or</w:t>
      </w:r>
    </w:p>
    <w:p>
      <w:pPr>
        <w:pStyle w:val="Normal"/>
        <w:jc w:val="both"/>
        <w:rPr>
          <w:sz w:val="22"/>
        </w:rPr>
      </w:pPr>
      <w:r>
        <w:rPr>
          <w:sz w:val="22"/>
        </w:rPr>
      </w:r>
    </w:p>
    <w:p>
      <w:pPr>
        <w:pStyle w:val="Normal"/>
        <w:jc w:val="both"/>
        <w:rPr>
          <w:sz w:val="22"/>
        </w:rPr>
      </w:pPr>
      <w:r>
        <w:rPr>
          <w:sz w:val="22"/>
        </w:rPr>
        <w:tab/>
        <w:t>(b)</w:t>
        <w:tab/>
        <w:t>A material adverse change in the business, legal or financial condition of either Party  and/or the prospects of the Proposed Transaction.</w:t>
      </w:r>
    </w:p>
    <w:p>
      <w:pPr>
        <w:pStyle w:val="Normal"/>
        <w:jc w:val="both"/>
        <w:rPr>
          <w:sz w:val="22"/>
        </w:rPr>
      </w:pPr>
      <w:r>
        <w:rPr>
          <w:sz w:val="22"/>
        </w:rPr>
      </w:r>
    </w:p>
    <w:p>
      <w:pPr>
        <w:pStyle w:val="Normal"/>
        <w:ind w:firstLine="1440" w:end="0"/>
        <w:jc w:val="both"/>
        <w:rPr>
          <w:sz w:val="22"/>
        </w:rPr>
      </w:pPr>
      <w:r>
        <w:rPr>
          <w:sz w:val="22"/>
        </w:rPr>
        <w:t>Any notices under this Letter shall be given in writing by overnight delivery or facsimile at the addresses and/or telephone numbers set forth below.  Such notices shall be deemed delivered, if sent by facsimile, and confirmation of receipt is obtained, when sent, and if by overnight delivery on the day after the actual sending of the notice.</w:t>
      </w:r>
    </w:p>
    <w:p>
      <w:pPr>
        <w:pStyle w:val="Normal"/>
        <w:ind w:firstLine="2160" w:end="0"/>
        <w:jc w:val="both"/>
        <w:rPr>
          <w:b/>
          <w:sz w:val="22"/>
        </w:rPr>
      </w:pPr>
      <w:r>
        <w:rPr>
          <w:b/>
          <w:sz w:val="22"/>
        </w:rPr>
      </w:r>
    </w:p>
    <w:p>
      <w:pPr>
        <w:pStyle w:val="Normal"/>
        <w:keepNext w:val="true"/>
        <w:keepLines/>
        <w:ind w:firstLine="2160" w:end="0"/>
        <w:jc w:val="both"/>
        <w:rPr>
          <w:b/>
          <w:sz w:val="22"/>
        </w:rPr>
      </w:pPr>
      <w:r>
        <w:rPr>
          <w:b/>
          <w:sz w:val="22"/>
        </w:rPr>
        <w:t>If to ENA:</w:t>
      </w:r>
    </w:p>
    <w:p>
      <w:pPr>
        <w:pStyle w:val="Normal"/>
        <w:keepNext w:val="true"/>
        <w:keepLines/>
        <w:jc w:val="both"/>
        <w:rPr>
          <w:b/>
          <w:sz w:val="22"/>
        </w:rPr>
      </w:pPr>
      <w:r>
        <w:rPr>
          <w:b/>
          <w:sz w:val="22"/>
        </w:rPr>
      </w:r>
    </w:p>
    <w:p>
      <w:pPr>
        <w:pStyle w:val="Normal"/>
        <w:keepNext w:val="true"/>
        <w:keepLines/>
        <w:ind w:firstLine="2880" w:end="0"/>
        <w:jc w:val="both"/>
        <w:rPr>
          <w:sz w:val="22"/>
        </w:rPr>
      </w:pPr>
      <w:r>
        <w:rPr>
          <w:sz w:val="22"/>
        </w:rPr>
        <w:t>Enron North America Corp.</w:t>
      </w:r>
    </w:p>
    <w:p>
      <w:pPr>
        <w:pStyle w:val="Normal"/>
        <w:keepNext w:val="true"/>
        <w:keepLines/>
        <w:ind w:firstLine="2880" w:end="0"/>
        <w:jc w:val="both"/>
        <w:rPr>
          <w:sz w:val="22"/>
        </w:rPr>
      </w:pPr>
      <w:r>
        <w:rPr>
          <w:sz w:val="22"/>
        </w:rPr>
        <w:t>150 N. Michigan, Suite 2015</w:t>
      </w:r>
    </w:p>
    <w:p>
      <w:pPr>
        <w:pStyle w:val="Normal"/>
        <w:keepNext w:val="true"/>
        <w:keepLines/>
        <w:ind w:firstLine="2880" w:end="0"/>
        <w:jc w:val="both"/>
        <w:rPr>
          <w:sz w:val="22"/>
        </w:rPr>
      </w:pPr>
      <w:r>
        <w:rPr>
          <w:sz w:val="22"/>
        </w:rPr>
        <w:t>Chicago, Illinois 60601</w:t>
      </w:r>
    </w:p>
    <w:p>
      <w:pPr>
        <w:pStyle w:val="Normal"/>
        <w:keepNext w:val="true"/>
        <w:keepLines/>
        <w:ind w:firstLine="2880" w:end="0"/>
        <w:jc w:val="both"/>
        <w:rPr>
          <w:sz w:val="22"/>
        </w:rPr>
      </w:pPr>
      <w:r>
        <w:rPr>
          <w:sz w:val="22"/>
        </w:rPr>
        <w:t>Attn:  Laura Luce</w:t>
      </w:r>
    </w:p>
    <w:p>
      <w:pPr>
        <w:pStyle w:val="Normal"/>
        <w:keepNext w:val="true"/>
        <w:keepLines/>
        <w:ind w:firstLine="2880" w:end="0"/>
        <w:jc w:val="both"/>
        <w:rPr>
          <w:sz w:val="22"/>
        </w:rPr>
      </w:pPr>
      <w:r>
        <w:rPr>
          <w:sz w:val="22"/>
        </w:rPr>
        <w:t>Telephone No.:  (312) 357-8869</w:t>
      </w:r>
    </w:p>
    <w:p>
      <w:pPr>
        <w:pStyle w:val="Normal"/>
        <w:keepNext w:val="true"/>
        <w:keepLines/>
        <w:ind w:firstLine="2880" w:end="0"/>
        <w:jc w:val="both"/>
        <w:rPr>
          <w:sz w:val="22"/>
        </w:rPr>
      </w:pPr>
      <w:r>
        <w:rPr>
          <w:sz w:val="22"/>
        </w:rPr>
        <w:t>Facsimile No.:   (312) 357-9194</w:t>
      </w:r>
    </w:p>
    <w:p>
      <w:pPr>
        <w:pStyle w:val="Normal"/>
        <w:keepNext w:val="true"/>
        <w:keepLines/>
        <w:ind w:firstLine="2880" w:end="0"/>
        <w:jc w:val="both"/>
        <w:rPr>
          <w:sz w:val="22"/>
        </w:rPr>
      </w:pPr>
      <w:r>
        <w:rPr>
          <w:sz w:val="22"/>
        </w:rPr>
        <w:t>Attn:  Fred Mitro</w:t>
      </w:r>
    </w:p>
    <w:p>
      <w:pPr>
        <w:pStyle w:val="Normal"/>
        <w:keepNext w:val="true"/>
        <w:keepLines/>
        <w:ind w:firstLine="2880" w:end="0"/>
        <w:jc w:val="both"/>
        <w:rPr>
          <w:sz w:val="22"/>
        </w:rPr>
      </w:pPr>
      <w:r>
        <w:rPr>
          <w:sz w:val="22"/>
        </w:rPr>
        <w:t>Telephone No.:  (713) 853-5406</w:t>
      </w:r>
    </w:p>
    <w:p>
      <w:pPr>
        <w:pStyle w:val="Normal"/>
        <w:keepNext w:val="true"/>
        <w:keepLines/>
        <w:ind w:firstLine="2880" w:end="0"/>
        <w:jc w:val="both"/>
        <w:rPr>
          <w:sz w:val="22"/>
        </w:rPr>
      </w:pPr>
      <w:r>
        <w:rPr>
          <w:sz w:val="22"/>
        </w:rPr>
        <w:t>Facsimile No.:  (713) 646-3483</w:t>
      </w:r>
    </w:p>
    <w:p>
      <w:pPr>
        <w:pStyle w:val="Normal"/>
        <w:ind w:firstLine="2880" w:end="0"/>
        <w:jc w:val="both"/>
        <w:rPr>
          <w:sz w:val="22"/>
        </w:rPr>
      </w:pPr>
      <w:r>
        <w:rPr>
          <w:sz w:val="22"/>
        </w:rPr>
        <w:t>Attn:  Sheila Tweed</w:t>
      </w:r>
    </w:p>
    <w:p>
      <w:pPr>
        <w:pStyle w:val="Normal"/>
        <w:ind w:firstLine="2880" w:end="0"/>
        <w:jc w:val="both"/>
        <w:rPr>
          <w:sz w:val="22"/>
        </w:rPr>
      </w:pPr>
      <w:r>
        <w:rPr>
          <w:sz w:val="22"/>
        </w:rPr>
        <w:t>Telephone No.:  (713) 853-7093</w:t>
      </w:r>
    </w:p>
    <w:p>
      <w:pPr>
        <w:pStyle w:val="Normal"/>
        <w:ind w:firstLine="2880" w:end="0"/>
        <w:jc w:val="both"/>
        <w:rPr>
          <w:sz w:val="22"/>
        </w:rPr>
      </w:pPr>
      <w:r>
        <w:rPr>
          <w:sz w:val="22"/>
        </w:rPr>
        <w:t>Facsimile No.:   (713) 646-3490</w:t>
      </w:r>
    </w:p>
    <w:p>
      <w:pPr>
        <w:pStyle w:val="Normal"/>
        <w:ind w:firstLine="2880" w:end="0"/>
        <w:jc w:val="both"/>
        <w:rPr>
          <w:sz w:val="22"/>
        </w:rPr>
      </w:pPr>
      <w:r>
        <w:rPr>
          <w:sz w:val="22"/>
        </w:rPr>
      </w:r>
    </w:p>
    <w:p>
      <w:pPr>
        <w:pStyle w:val="Normal"/>
        <w:keepNext w:val="true"/>
        <w:keepLines/>
        <w:ind w:firstLine="2160" w:end="0"/>
        <w:jc w:val="both"/>
        <w:rPr>
          <w:sz w:val="22"/>
        </w:rPr>
      </w:pPr>
      <w:r>
        <w:rPr>
          <w:b/>
          <w:sz w:val="22"/>
        </w:rPr>
        <w:t>If to PERC:</w:t>
      </w:r>
    </w:p>
    <w:p>
      <w:pPr>
        <w:pStyle w:val="Normal"/>
        <w:keepNext w:val="true"/>
        <w:keepLines/>
        <w:ind w:firstLine="2880" w:end="0"/>
        <w:jc w:val="both"/>
        <w:rPr>
          <w:sz w:val="22"/>
        </w:rPr>
      </w:pPr>
      <w:r>
        <w:rPr>
          <w:sz w:val="22"/>
        </w:rPr>
      </w:r>
    </w:p>
    <w:p>
      <w:pPr>
        <w:pStyle w:val="Normal"/>
        <w:keepNext w:val="true"/>
        <w:keepLines/>
        <w:ind w:firstLine="2880" w:end="0"/>
        <w:jc w:val="both"/>
        <w:rPr>
          <w:sz w:val="22"/>
        </w:rPr>
      </w:pPr>
      <w:r>
        <w:rPr>
          <w:sz w:val="22"/>
        </w:rPr>
        <w:t>Peoples Energy Resources Company</w:t>
        <w:tab/>
        <w:tab/>
        <w:t>Wire Transfer Instructions:</w:t>
      </w:r>
    </w:p>
    <w:p>
      <w:pPr>
        <w:pStyle w:val="Normal"/>
        <w:keepNext w:val="true"/>
        <w:keepLines/>
        <w:ind w:firstLine="2880" w:end="0"/>
        <w:jc w:val="both"/>
        <w:rPr>
          <w:sz w:val="22"/>
        </w:rPr>
      </w:pPr>
      <w:r>
        <w:rPr>
          <w:sz w:val="22"/>
        </w:rPr>
        <w:t>130 East Randolph Drive</w:t>
      </w:r>
    </w:p>
    <w:p>
      <w:pPr>
        <w:pStyle w:val="Normal"/>
        <w:keepNext w:val="true"/>
        <w:keepLines/>
        <w:ind w:firstLine="2880" w:end="0"/>
        <w:jc w:val="both"/>
        <w:rPr>
          <w:sz w:val="22"/>
        </w:rPr>
      </w:pPr>
      <w:r>
        <w:rPr>
          <w:sz w:val="22"/>
        </w:rPr>
        <w:t>Chicago, IL 60601</w:t>
      </w:r>
    </w:p>
    <w:p>
      <w:pPr>
        <w:pStyle w:val="Normal"/>
        <w:keepNext w:val="true"/>
        <w:keepLines/>
        <w:ind w:firstLine="2880" w:end="0"/>
        <w:jc w:val="both"/>
        <w:rPr>
          <w:sz w:val="22"/>
        </w:rPr>
      </w:pPr>
      <w:r>
        <w:rPr>
          <w:sz w:val="22"/>
        </w:rPr>
        <w:t>Attn:_________________</w:t>
      </w:r>
    </w:p>
    <w:p>
      <w:pPr>
        <w:pStyle w:val="Normal"/>
        <w:keepNext w:val="true"/>
        <w:keepLines/>
        <w:ind w:firstLine="2880" w:end="0"/>
        <w:jc w:val="both"/>
        <w:rPr>
          <w:sz w:val="22"/>
        </w:rPr>
      </w:pPr>
      <w:r>
        <w:rPr>
          <w:sz w:val="22"/>
        </w:rPr>
        <w:t>Telephone No.: (___) _______</w:t>
      </w:r>
    </w:p>
    <w:p>
      <w:pPr>
        <w:pStyle w:val="Normal"/>
        <w:keepNext w:val="true"/>
        <w:keepLines/>
        <w:ind w:firstLine="2880" w:end="0"/>
        <w:jc w:val="both"/>
        <w:rPr>
          <w:sz w:val="22"/>
        </w:rPr>
      </w:pPr>
      <w:r>
        <w:rPr>
          <w:sz w:val="22"/>
        </w:rPr>
        <w:t>Facsimile No.:  (___) _______</w:t>
      </w:r>
    </w:p>
    <w:p>
      <w:pPr>
        <w:pStyle w:val="Normal"/>
        <w:keepNext w:val="true"/>
        <w:keepLines/>
        <w:jc w:val="both"/>
        <w:rPr>
          <w:sz w:val="22"/>
        </w:rPr>
      </w:pPr>
      <w:r>
        <w:rPr>
          <w:sz w:val="22"/>
        </w:rPr>
      </w:r>
    </w:p>
    <w:p>
      <w:pPr>
        <w:pStyle w:val="Normal"/>
        <w:jc w:val="both"/>
        <w:rPr/>
      </w:pPr>
      <w:r>
        <w:rPr>
          <w:b/>
          <w:sz w:val="22"/>
        </w:rPr>
        <w:tab/>
        <w:t>14.</w:t>
      </w:r>
      <w:r>
        <w:rPr>
          <w:sz w:val="22"/>
        </w:rPr>
        <w:tab/>
      </w:r>
      <w:r>
        <w:rPr>
          <w:b/>
          <w:sz w:val="22"/>
        </w:rPr>
        <w:t>Limitation of Remedies, Liability and Damages</w:t>
      </w:r>
      <w:r>
        <w:rPr>
          <w:sz w:val="22"/>
        </w:rPr>
        <w:t xml:space="preserve">.  The Parties agree that either Party’s liability for violation of any provision of the Agreement set forth in this </w:t>
      </w:r>
      <w:r>
        <w:rPr>
          <w:sz w:val="22"/>
          <w:u w:val="single"/>
        </w:rPr>
        <w:t>Article II</w:t>
      </w:r>
      <w:r>
        <w:rPr>
          <w:sz w:val="22"/>
        </w:rPr>
        <w:t xml:space="preserve"> or for any other claim related to the Agreement set forth in this </w:t>
      </w:r>
      <w:r>
        <w:rPr>
          <w:sz w:val="22"/>
          <w:u w:val="single"/>
        </w:rPr>
        <w:t>Article II</w:t>
      </w:r>
      <w:r>
        <w:rPr>
          <w:sz w:val="22"/>
        </w:rPr>
        <w:t xml:space="preserve"> shall be limited to direct actual damages only, such direct actual damages shall be the sole and exclusive remedy and all other remedies or damages at law or in equity are waived.  No Party shall be liable for consequential, incidental, punitive, exemplary or indirect damages, lost profits or other business interruption damages, by statute, in tort or contract, under any indemnity provision or otherwise.</w:t>
      </w:r>
    </w:p>
    <w:p>
      <w:pPr>
        <w:pStyle w:val="Normal"/>
        <w:jc w:val="both"/>
        <w:rPr>
          <w:sz w:val="22"/>
        </w:rPr>
      </w:pPr>
      <w:r>
        <w:rPr>
          <w:sz w:val="22"/>
        </w:rPr>
      </w:r>
    </w:p>
    <w:p>
      <w:pPr>
        <w:pStyle w:val="Normal"/>
        <w:jc w:val="both"/>
        <w:rPr/>
      </w:pPr>
      <w:r>
        <w:rPr>
          <w:b/>
          <w:sz w:val="22"/>
        </w:rPr>
        <w:tab/>
        <w:t>15.</w:t>
      </w:r>
      <w:r>
        <w:rPr>
          <w:sz w:val="22"/>
        </w:rPr>
        <w:tab/>
      </w:r>
      <w:r>
        <w:rPr>
          <w:b/>
          <w:sz w:val="22"/>
        </w:rPr>
        <w:t>Arbitration</w:t>
      </w:r>
      <w:r>
        <w:rPr>
          <w:sz w:val="22"/>
        </w:rPr>
        <w:t xml:space="preserve">.  Any dispute or need of interpretation arising out of the Agreement set forth in this </w:t>
      </w:r>
      <w:r>
        <w:rPr>
          <w:sz w:val="22"/>
          <w:u w:val="single"/>
        </w:rPr>
        <w:t>Article II</w:t>
      </w:r>
      <w:r>
        <w:rPr>
          <w:sz w:val="22"/>
        </w:rPr>
        <w:t xml:space="preserve"> shall be submitted to binding arbitration by one arbitrator who has not previously been employed by any Party, and does not have a direct or indirect interest in any Party or the subject matter of the arbitration.  Such arbitrator shall either be as mutually agreed by the Parties within thirty (30) days after written notice from the Party requesting arbitration, or failing agreement, shall be selected under the expedited rules of the American Arbitration Association (the "</w:t>
      </w:r>
      <w:r>
        <w:rPr>
          <w:sz w:val="22"/>
          <w:u w:val="single"/>
        </w:rPr>
        <w:t>AAA</w:t>
      </w:r>
      <w:r>
        <w:rPr>
          <w:sz w:val="22"/>
        </w:rPr>
        <w:t>").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each Party shall divide equally the cost of the arbitrator and the hearing and each Party shall be responsible for its own expenses and those of its counsel and representatives and (d) evidence concerning the financial position or organizational make</w:t>
        <w:noBreakHyphen/>
        <w:t>up of the Parties, any offer made or the details of any negotiation prior to arbitration and the cost to the Parties of their representatives and counsel shall not be permissible.</w:t>
      </w:r>
    </w:p>
    <w:p>
      <w:pPr>
        <w:pStyle w:val="Normal"/>
        <w:jc w:val="both"/>
        <w:rPr>
          <w:sz w:val="22"/>
        </w:rPr>
      </w:pPr>
      <w:r>
        <w:rPr>
          <w:sz w:val="22"/>
        </w:rPr>
      </w:r>
    </w:p>
    <w:p>
      <w:pPr>
        <w:pStyle w:val="Normal"/>
        <w:jc w:val="both"/>
        <w:rPr/>
      </w:pPr>
      <w:r>
        <w:rPr>
          <w:sz w:val="22"/>
        </w:rPr>
        <w:tab/>
      </w:r>
      <w:r>
        <w:rPr>
          <w:b/>
          <w:sz w:val="22"/>
        </w:rPr>
        <w:t>16.</w:t>
        <w:tab/>
        <w:t>Publicity.</w:t>
      </w:r>
      <w:r>
        <w:rPr>
          <w:sz w:val="22"/>
        </w:rPr>
        <w:t xml:space="preserve">  A Party desiring to issue a news release or other form of publicity that relates to the subject matter of this Letter or the Proposed Transaction shall give full consideration to the role and contribution of the other Party and shall receive that other Party’s written permission before any such release or publicity.</w:t>
      </w:r>
    </w:p>
    <w:p>
      <w:pPr>
        <w:pStyle w:val="Normal"/>
        <w:jc w:val="both"/>
        <w:rPr>
          <w:sz w:val="22"/>
        </w:rPr>
      </w:pPr>
      <w:r>
        <w:rPr>
          <w:sz w:val="22"/>
        </w:rPr>
      </w:r>
    </w:p>
    <w:p>
      <w:pPr>
        <w:pStyle w:val="Normal"/>
        <w:jc w:val="both"/>
        <w:rPr/>
      </w:pPr>
      <w:r>
        <w:rPr>
          <w:b/>
          <w:sz w:val="22"/>
        </w:rPr>
        <w:tab/>
        <w:t>17.</w:t>
      </w:r>
      <w:r>
        <w:rPr>
          <w:sz w:val="22"/>
        </w:rPr>
        <w:t xml:space="preserve"> </w:t>
        <w:tab/>
      </w:r>
      <w:r>
        <w:rPr>
          <w:b/>
          <w:sz w:val="22"/>
        </w:rPr>
        <w:t>Third Parties</w:t>
      </w:r>
      <w:r>
        <w:rPr>
          <w:sz w:val="22"/>
        </w:rPr>
        <w:t xml:space="preserve">.  The provisions of the Agreement set forth in this </w:t>
      </w:r>
      <w:r>
        <w:rPr>
          <w:sz w:val="22"/>
          <w:u w:val="single"/>
        </w:rPr>
        <w:t>Article II</w:t>
      </w:r>
      <w:r>
        <w:rPr>
          <w:sz w:val="22"/>
        </w:rPr>
        <w:t xml:space="preserve"> shall not impart rights enforceable by any person or entity not a Party or not a successor or permitted assignee of a Party bound by this Agreement.</w:t>
      </w:r>
    </w:p>
    <w:p>
      <w:pPr>
        <w:pStyle w:val="Normal"/>
        <w:jc w:val="both"/>
        <w:rPr>
          <w:sz w:val="22"/>
        </w:rPr>
      </w:pPr>
      <w:r>
        <w:rPr>
          <w:sz w:val="22"/>
        </w:rPr>
      </w:r>
    </w:p>
    <w:p>
      <w:pPr>
        <w:pStyle w:val="Normal"/>
        <w:jc w:val="both"/>
        <w:rPr>
          <w:b/>
          <w:sz w:val="22"/>
        </w:rPr>
      </w:pPr>
      <w:r>
        <w:rPr>
          <w:b/>
          <w:sz w:val="22"/>
        </w:rPr>
        <w:tab/>
        <w:t>18.</w:t>
        <w:tab/>
        <w:t>Termination.</w:t>
      </w:r>
      <w:r>
        <w:rPr>
          <w:sz w:val="22"/>
        </w:rPr>
        <w:t xml:space="preserve">  The Agreement set forth in this </w:t>
      </w:r>
      <w:r>
        <w:rPr>
          <w:sz w:val="22"/>
          <w:u w:val="single"/>
        </w:rPr>
        <w:t>Article II</w:t>
      </w:r>
      <w:r>
        <w:rPr>
          <w:sz w:val="22"/>
        </w:rPr>
        <w:t xml:space="preserve"> shall automatically terminate on the Termination Date, and may be terminated earlier upon written notice by either Party to the other Party unilaterally, for any reason or no reason, with or without cause, at any time (subject to the pre-existing obligations of the Parties under the Confidentiality Agreement); </w:t>
      </w:r>
      <w:r>
        <w:rPr>
          <w:sz w:val="22"/>
          <w:u w:val="single"/>
        </w:rPr>
        <w:t>provided</w:t>
      </w:r>
      <w:r>
        <w:rPr>
          <w:sz w:val="22"/>
        </w:rPr>
        <w:t xml:space="preserve">, </w:t>
      </w:r>
      <w:r>
        <w:rPr>
          <w:sz w:val="22"/>
          <w:u w:val="single"/>
        </w:rPr>
        <w:t>however</w:t>
      </w:r>
      <w:r>
        <w:rPr>
          <w:sz w:val="22"/>
        </w:rPr>
        <w:t xml:space="preserve">, that the termination of the Agreement set forth in this </w:t>
      </w:r>
      <w:r>
        <w:rPr>
          <w:sz w:val="22"/>
          <w:u w:val="single"/>
        </w:rPr>
        <w:t>Article II</w:t>
      </w:r>
      <w:r>
        <w:rPr>
          <w:sz w:val="22"/>
        </w:rPr>
        <w:t xml:space="preserve"> will not affect the liability of a Party for breach of the Agreement set forth in </w:t>
      </w:r>
      <w:r>
        <w:rPr>
          <w:sz w:val="22"/>
          <w:u w:val="single"/>
        </w:rPr>
        <w:t>Article II</w:t>
      </w:r>
      <w:r>
        <w:rPr>
          <w:sz w:val="22"/>
        </w:rPr>
        <w:t xml:space="preserve"> of this Letter prior to termination.  Upon termination of the Agreement set forth in this </w:t>
      </w:r>
      <w:r>
        <w:rPr>
          <w:sz w:val="22"/>
          <w:u w:val="single"/>
        </w:rPr>
        <w:t>Article II</w:t>
      </w:r>
      <w:r>
        <w:rPr>
          <w:sz w:val="22"/>
        </w:rPr>
        <w:t xml:space="preserve">, the Parties will have no further obligations hereunder, except that the obligations of the Parties under the Agreement set forth in this </w:t>
      </w:r>
      <w:r>
        <w:rPr>
          <w:sz w:val="22"/>
          <w:u w:val="single"/>
        </w:rPr>
        <w:t>Article II</w:t>
      </w:r>
      <w:r>
        <w:rPr>
          <w:sz w:val="22"/>
        </w:rPr>
        <w:t xml:space="preserve"> will survive any such termination as may be necessary to give full force and effect to the obligations of the Parties thereunder.</w:t>
      </w:r>
    </w:p>
    <w:p>
      <w:pPr>
        <w:pStyle w:val="Normal"/>
        <w:jc w:val="both"/>
        <w:rPr>
          <w:b/>
          <w:sz w:val="22"/>
        </w:rPr>
      </w:pPr>
      <w:r>
        <w:rPr>
          <w:b/>
          <w:sz w:val="22"/>
        </w:rPr>
      </w:r>
    </w:p>
    <w:p>
      <w:pPr>
        <w:pStyle w:val="Normal"/>
        <w:jc w:val="both"/>
        <w:rPr/>
      </w:pPr>
      <w:r>
        <w:rPr>
          <w:b/>
          <w:sz w:val="22"/>
        </w:rPr>
        <w:tab/>
        <w:t>19.</w:t>
        <w:tab/>
        <w:t xml:space="preserve">Non-Inclusive; Non-Binding.  </w:t>
      </w:r>
      <w:r>
        <w:rPr>
          <w:sz w:val="22"/>
        </w:rPr>
        <w:t xml:space="preserve">This Letter does not contain all matters upon which agreement must be reached in order for the Definitive Agreements to be executed and the Proposed Transaction to be completed, and except for the provisions of the Agreement set forth in this </w:t>
      </w:r>
      <w:r>
        <w:rPr>
          <w:sz w:val="22"/>
          <w:u w:val="single"/>
        </w:rPr>
        <w:t>Article II</w:t>
      </w:r>
      <w:r>
        <w:rPr>
          <w:sz w:val="22"/>
        </w:rPr>
        <w:t xml:space="preserve">, does not create any binding commitments with respect to the Proposed Transaction.  This Letter does not create, and is not intended to create, a binding and enforceable contract between the Parties, or an offer to enter into any binding and enforceable contract, with respect to any of the provisions of </w:t>
      </w:r>
      <w:r>
        <w:rPr>
          <w:sz w:val="22"/>
          <w:u w:val="single"/>
        </w:rPr>
        <w:t>Article I</w:t>
      </w:r>
      <w:r>
        <w:rPr>
          <w:sz w:val="22"/>
        </w:rPr>
        <w:t>, and may not be relied upon by a Party as the basis for a contract by estoppel or otherwise.</w:t>
      </w:r>
    </w:p>
    <w:p>
      <w:pPr>
        <w:pStyle w:val="Normal"/>
        <w:jc w:val="both"/>
        <w:rPr>
          <w:sz w:val="22"/>
        </w:rPr>
      </w:pPr>
      <w:r>
        <w:rPr>
          <w:sz w:val="22"/>
        </w:rPr>
      </w:r>
    </w:p>
    <w:p>
      <w:pPr>
        <w:pStyle w:val="Normal"/>
        <w:jc w:val="both"/>
        <w:rPr/>
      </w:pPr>
      <w:r>
        <w:rPr>
          <w:sz w:val="22"/>
        </w:rPr>
        <w:tab/>
        <w:t xml:space="preserve">If the provisions of </w:t>
      </w:r>
      <w:r>
        <w:rPr>
          <w:sz w:val="22"/>
          <w:u w:val="single"/>
        </w:rPr>
        <w:t>Article I</w:t>
      </w:r>
      <w:r>
        <w:rPr>
          <w:sz w:val="22"/>
        </w:rPr>
        <w:t xml:space="preserve"> hereof correctly set forth our current understanding and the provisions of the Agreement set forth in </w:t>
      </w:r>
      <w:r>
        <w:rPr>
          <w:sz w:val="22"/>
          <w:u w:val="single"/>
        </w:rPr>
        <w:t>Article II</w:t>
      </w:r>
      <w:r>
        <w:rPr>
          <w:sz w:val="22"/>
        </w:rPr>
        <w:t xml:space="preserve"> hereof set forth our binding agreement, please execute all of the enclosed originals of this Letter in the space provided below, retain one fully-executed original, and return the other original to the undersigned by 5:00 p.m. (Houston, Texas time) on or before February ____, 2000.  If we do not receive a fully-executed original of this Letter by such time, this Letter shall automatically terminate and be of no further force or effect.  This Letter may be executed in counterparts, with each counterpart being deemed to be an original, but all such counterparts together shall constitute but one and the same document.  The effective date of this Letter is agreed to be February _____, 2000 (the "</w:t>
      </w:r>
      <w:r>
        <w:rPr>
          <w:sz w:val="22"/>
          <w:u w:val="single"/>
        </w:rPr>
        <w:t>Effective Date</w:t>
      </w:r>
      <w:r>
        <w:rPr>
          <w:sz w:val="22"/>
        </w:rPr>
        <w: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ind w:start="4320" w:end="360"/>
        <w:jc w:val="both"/>
        <w:rPr>
          <w:b/>
          <w:sz w:val="22"/>
        </w:rPr>
      </w:pPr>
      <w:r>
        <w:rPr>
          <w:b/>
          <w:sz w:val="22"/>
        </w:rPr>
        <w:t>ENRON NORTH AMERICA CORP.</w:t>
      </w:r>
    </w:p>
    <w:p>
      <w:pPr>
        <w:pStyle w:val="Normal"/>
        <w:ind w:start="4320" w:end="360"/>
        <w:jc w:val="both"/>
        <w:rPr>
          <w:b/>
          <w:sz w:val="22"/>
        </w:rPr>
      </w:pPr>
      <w:r>
        <w:rPr>
          <w:b/>
          <w:sz w:val="22"/>
        </w:rPr>
      </w:r>
    </w:p>
    <w:p>
      <w:pPr>
        <w:pStyle w:val="Normal"/>
        <w:ind w:start="4320" w:end="360"/>
        <w:jc w:val="both"/>
        <w:rPr>
          <w:b/>
          <w:sz w:val="22"/>
        </w:rPr>
      </w:pPr>
      <w:r>
        <w:rPr>
          <w:b/>
          <w:sz w:val="22"/>
        </w:rPr>
      </w:r>
    </w:p>
    <w:p>
      <w:pPr>
        <w:pStyle w:val="Normal"/>
        <w:ind w:start="4320" w:end="360"/>
        <w:jc w:val="both"/>
        <w:rPr/>
      </w:pPr>
      <w:r>
        <w:rPr>
          <w:sz w:val="22"/>
        </w:rPr>
        <w:t>By:</w:t>
      </w:r>
      <w:r>
        <w:rPr>
          <w:sz w:val="22"/>
          <w:u w:val="single"/>
        </w:rPr>
        <w:tab/>
        <w:tab/>
        <w:tab/>
        <w:tab/>
        <w:tab/>
        <w:tab/>
      </w:r>
    </w:p>
    <w:p>
      <w:pPr>
        <w:pStyle w:val="Normal"/>
        <w:ind w:start="4320" w:end="360"/>
        <w:jc w:val="both"/>
        <w:rPr/>
      </w:pPr>
      <w:r>
        <w:rPr>
          <w:sz w:val="22"/>
        </w:rPr>
        <w:t>Name:</w:t>
      </w:r>
      <w:r>
        <w:rPr>
          <w:sz w:val="22"/>
          <w:u w:val="single"/>
        </w:rPr>
        <w:tab/>
        <w:tab/>
        <w:tab/>
        <w:tab/>
        <w:tab/>
        <w:tab/>
      </w:r>
    </w:p>
    <w:p>
      <w:pPr>
        <w:pStyle w:val="Normal"/>
        <w:ind w:start="4320" w:end="360"/>
        <w:jc w:val="both"/>
        <w:rPr>
          <w:sz w:val="22"/>
        </w:rPr>
      </w:pPr>
      <w:r>
        <w:rPr>
          <w:sz w:val="22"/>
        </w:rPr>
        <w:tab/>
        <w:t xml:space="preserve">     Vice President</w:t>
      </w:r>
    </w:p>
    <w:p>
      <w:pPr>
        <w:pStyle w:val="Normal"/>
        <w:ind w:end="360"/>
        <w:jc w:val="both"/>
        <w:rPr>
          <w:sz w:val="22"/>
        </w:rPr>
      </w:pPr>
      <w:r>
        <w:rPr>
          <w:sz w:val="22"/>
        </w:rPr>
      </w:r>
    </w:p>
    <w:p>
      <w:pPr>
        <w:pStyle w:val="Normal"/>
        <w:ind w:start="4320" w:end="360"/>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jc w:val="both"/>
        <w:rPr>
          <w:b/>
          <w:sz w:val="22"/>
        </w:rPr>
      </w:pPr>
      <w:r>
        <w:rPr>
          <w:b/>
          <w:sz w:val="22"/>
        </w:rPr>
        <w:t>this ____ day of __________, 2000:</w:t>
      </w:r>
    </w:p>
    <w:p>
      <w:pPr>
        <w:pStyle w:val="Normal"/>
        <w:jc w:val="both"/>
        <w:rPr>
          <w:b/>
          <w:sz w:val="22"/>
        </w:rPr>
      </w:pPr>
      <w:r>
        <w:rPr>
          <w:b/>
          <w:sz w:val="22"/>
        </w:rPr>
      </w:r>
    </w:p>
    <w:p>
      <w:pPr>
        <w:pStyle w:val="Normal"/>
        <w:jc w:val="both"/>
        <w:rPr>
          <w:sz w:val="22"/>
        </w:rPr>
      </w:pPr>
      <w:r>
        <w:rPr>
          <w:sz w:val="22"/>
        </w:rPr>
      </w:r>
    </w:p>
    <w:p>
      <w:pPr>
        <w:pStyle w:val="Normal"/>
        <w:jc w:val="both"/>
        <w:rPr>
          <w:b/>
          <w:sz w:val="22"/>
        </w:rPr>
      </w:pPr>
      <w:r>
        <w:rPr>
          <w:b/>
          <w:sz w:val="22"/>
        </w:rPr>
        <w:t>PEOPLES ENERGY RESOURCES COMPANY</w:t>
      </w:r>
    </w:p>
    <w:p>
      <w:pPr>
        <w:pStyle w:val="Normal"/>
        <w:jc w:val="both"/>
        <w:rPr>
          <w:b/>
          <w:sz w:val="22"/>
        </w:rPr>
      </w:pPr>
      <w:r>
        <w:rPr>
          <w:b/>
          <w:sz w:val="22"/>
        </w:rPr>
      </w:r>
    </w:p>
    <w:p>
      <w:pPr>
        <w:pStyle w:val="Normal"/>
        <w:jc w:val="both"/>
        <w:rPr>
          <w:sz w:val="22"/>
        </w:rPr>
      </w:pPr>
      <w:r>
        <w:rPr>
          <w:sz w:val="22"/>
        </w:rPr>
      </w:r>
    </w:p>
    <w:p>
      <w:pPr>
        <w:pStyle w:val="Normal"/>
        <w:jc w:val="both"/>
        <w:rPr/>
      </w:pPr>
      <w:r>
        <w:rPr>
          <w:sz w:val="22"/>
        </w:rPr>
        <w:t>By:</w:t>
      </w:r>
      <w:r>
        <w:rPr>
          <w:sz w:val="22"/>
          <w:u w:val="single"/>
        </w:rPr>
        <w:tab/>
        <w:tab/>
        <w:tab/>
        <w:tab/>
        <w:tab/>
      </w:r>
    </w:p>
    <w:p>
      <w:pPr>
        <w:pStyle w:val="Normal"/>
        <w:jc w:val="both"/>
        <w:rPr>
          <w:sz w:val="22"/>
        </w:rPr>
      </w:pPr>
      <w:r>
        <w:rPr>
          <w:sz w:val="22"/>
        </w:rPr>
        <w:t>Name:</w:t>
      </w:r>
      <w:r>
        <w:rPr>
          <w:sz w:val="22"/>
          <w:u w:val="single"/>
        </w:rPr>
        <w:tab/>
        <w:tab/>
        <w:tab/>
        <w:tab/>
        <w:tab/>
      </w:r>
    </w:p>
    <w:p>
      <w:pPr>
        <w:pStyle w:val="Normal"/>
        <w:jc w:val="both"/>
        <w:rPr/>
      </w:pPr>
      <w:r>
        <w:rPr>
          <w:sz w:val="22"/>
        </w:rPr>
        <w:t>Title:</w:t>
      </w:r>
      <w:r>
        <w:rPr>
          <w:sz w:val="22"/>
          <w:u w:val="single"/>
        </w:rPr>
        <w:tab/>
        <w:tab/>
        <w:tab/>
        <w:tab/>
        <w:tab/>
      </w:r>
    </w:p>
    <w:sectPr>
      <w:headerReference w:type="default" r:id="rId2"/>
      <w:headerReference w:type="first" r:id="rId3"/>
      <w:footerReference w:type="default" r:id="rId4"/>
      <w:footerReference w:type="first" r:id="rId5"/>
      <w:type w:val="nextPage"/>
      <w:pgSz w:w="12240" w:h="15840"/>
      <w:pgMar w:left="1152" w:right="1152"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20"/>
      </w:rPr>
    </w:pPr>
    <w:r>
      <w:rPr>
        <w:sz w:val="16"/>
      </w:rPr>
      <w:t>o:\common\legal\stweed\contracts</w:t>
    </w:r>
    <w:r>
      <w:rPr>
        <w:sz w:val="16"/>
      </w:rPr>
      <w:fldChar w:fldCharType="begin"/>
    </w:r>
    <w:r>
      <w:rPr>
        <w:sz w:val="16"/>
      </w:rPr>
      <w:instrText xml:space="preserve"> FILENAME </w:instrText>
    </w:r>
    <w:r>
      <w:rPr>
        <w:sz w:val="16"/>
      </w:rPr>
      <w:fldChar w:fldCharType="separate"/>
    </w:r>
    <w:r>
      <w:rPr>
        <w:sz w:val="16"/>
      </w:rPr>
      <w:t>Peoples_Power_Development_LOI_2.doc</w:t>
    </w:r>
    <w:r>
      <w:rPr>
        <w:sz w:val="16"/>
      </w:rPr>
      <w:fldChar w:fldCharType="end"/>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t>o:\common\legal\Stweed\Peoples\</w:t>
    </w:r>
    <w:r>
      <w:rPr>
        <w:sz w:val="16"/>
      </w:rPr>
      <w:fldChar w:fldCharType="begin"/>
    </w:r>
    <w:r>
      <w:rPr>
        <w:sz w:val="16"/>
      </w:rPr>
      <w:instrText xml:space="preserve"> FILENAME </w:instrText>
    </w:r>
    <w:r>
      <w:rPr>
        <w:sz w:val="16"/>
      </w:rPr>
      <w:fldChar w:fldCharType="separate"/>
    </w:r>
    <w:r>
      <w:rPr>
        <w:sz w:val="16"/>
      </w:rPr>
      <w:t>Peoples_Power_Development_LOI_2.doc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7</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2000-02-02T21:05:00Z</dcterms:created>
  <dc:creator>ECT</dc:creator>
  <dc:description/>
  <dc:language>en-CA</dc:language>
  <cp:lastModifiedBy>ebraden</cp:lastModifiedBy>
  <cp:lastPrinted>2000-02-07T08:20:00Z</cp:lastPrinted>
  <dcterms:modified xsi:type="dcterms:W3CDTF">2000-02-07T11:51:00Z</dcterms:modified>
  <cp:revision>29</cp:revision>
  <dc:subject/>
  <dc:title>January ___, 1998</dc:title>
</cp:coreProperties>
</file>