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Pending US-Based Project Development Matters for Carlos Solé</w:t>
      </w:r>
    </w:p>
    <w:p>
      <w:pPr>
        <w:pStyle w:val="Normal"/>
        <w:jc w:val="center"/>
        <w:rPr>
          <w:b/>
          <w:bCs/>
        </w:rPr>
      </w:pPr>
      <w:r>
        <w:rPr>
          <w:b/>
          <w:bCs/>
        </w:rPr>
        <w:t>(Identified Geographically)</w:t>
      </w:r>
    </w:p>
    <w:p>
      <w:pPr>
        <w:pStyle w:val="Normal"/>
        <w:jc w:val="center"/>
        <w:rPr>
          <w:b/>
          <w:bCs/>
        </w:rPr>
      </w:pPr>
      <w:r>
        <w:rPr>
          <w:b/>
          <w:bCs/>
        </w:rPr>
      </w:r>
    </w:p>
    <w:p>
      <w:pPr>
        <w:pStyle w:val="Normal"/>
        <w:rPr>
          <w:b/>
          <w:bCs/>
        </w:rPr>
      </w:pPr>
      <w:r>
        <w:rPr>
          <w:b/>
          <w:bCs/>
        </w:rPr>
      </w:r>
    </w:p>
    <w:p>
      <w:pPr>
        <w:pStyle w:val="Heading2"/>
        <w:rPr/>
      </w:pPr>
      <w:r>
        <w:rPr/>
        <w:t>Florida</w:t>
      </w:r>
    </w:p>
    <w:p>
      <w:pPr>
        <w:pStyle w:val="Normal"/>
        <w:rPr>
          <w:b/>
          <w:bCs/>
        </w:rPr>
      </w:pPr>
      <w:r>
        <w:rPr>
          <w:b/>
          <w:bCs/>
        </w:rPr>
      </w:r>
    </w:p>
    <w:p>
      <w:pPr>
        <w:pStyle w:val="Normal"/>
        <w:rPr/>
      </w:pPr>
      <w:r>
        <w:rPr>
          <w:b/>
          <w:bCs/>
        </w:rPr>
        <w:t xml:space="preserve">Seminole Tribe of Florida:  </w:t>
      </w:r>
      <w:r>
        <w:rPr/>
        <w:t xml:space="preserve">Drafted letter of intent with the Tribe for the development of a coal-fueled power plant on the Tribe’s land.  Engaged outside counsel (Foley &amp; Lardner) to advise on Indian law issues (they represented the Hard Rock Café in a recent hotel casino development transaction with the Tribe).  Letters of Intent forwarded to the Tribe, but it has experienced a change in its leadership which has tentatively stalled the Project.  If it resurrects itself and the letter of intent is executed, then the negotiation of a development agreement and other subsequent agreements will require considerable attention, given the complex legal framework that governs tribes and developments on their land (ie, that state laws do not apply but federal ones, such as EPA’s, do and land acquisition agreements can only be in the form of leases which require the approval of the Bureau of Indian Affairs). </w:t>
      </w:r>
    </w:p>
    <w:p>
      <w:pPr>
        <w:pStyle w:val="Normal"/>
        <w:rPr>
          <w:b/>
          <w:bCs/>
        </w:rPr>
      </w:pPr>
      <w:r>
        <w:rPr>
          <w:b/>
          <w:bCs/>
        </w:rPr>
      </w:r>
    </w:p>
    <w:p>
      <w:pPr>
        <w:pStyle w:val="Normal"/>
        <w:rPr/>
      </w:pPr>
      <w:r>
        <w:rPr>
          <w:b/>
          <w:bCs/>
        </w:rPr>
        <w:t xml:space="preserve">Oversight of Outside Counsel regarding Mitsubishi Heavy Industries (MHI) Turbine Contract Assignment to Fort Pierce:  </w:t>
      </w:r>
      <w:r>
        <w:rPr/>
        <w:t xml:space="preserve">In connection with the Ft. Pierce Project, ENA intends to use a MHI turbine that Enron South America (ESA) had previously acquired in connection with one of its projects.  The ENA project team has been negotiating with MHI an amendment to that contract in order to appropriately adjust its terms to reflect the changed location and layout of the facility in which the turbine will be placed.  Mark Thurber of Andrews &amp; Kurth (previously he was with Skadden Arps) is outside counsel on the project and has been involved since the initial negotiations with MHI when the turbine was being acquired for an ESA project.  Brian Barto has also been involved in the process.  </w:t>
      </w:r>
    </w:p>
    <w:p>
      <w:pPr>
        <w:pStyle w:val="Normal"/>
        <w:rPr>
          <w:b/>
          <w:bCs/>
        </w:rPr>
      </w:pPr>
      <w:r>
        <w:rPr>
          <w:b/>
          <w:bCs/>
        </w:rPr>
      </w:r>
    </w:p>
    <w:p>
      <w:pPr>
        <w:pStyle w:val="Normal"/>
        <w:rPr/>
      </w:pPr>
      <w:r>
        <w:rPr>
          <w:b/>
          <w:bCs/>
        </w:rPr>
        <w:t>City of Tallahassee Project:</w:t>
      </w:r>
      <w:r>
        <w:rPr/>
        <w:t xml:space="preserve">  Drafted and submitted to David Fairley and Matt Gimble a letter of intent with the City for the submission of a proposal for the development of a re-powering project with the City that would be comparable to Fort Pierce (no activity since).</w:t>
      </w:r>
    </w:p>
    <w:p>
      <w:pPr>
        <w:pStyle w:val="Normal"/>
        <w:rPr>
          <w:b/>
          <w:bCs/>
        </w:rPr>
      </w:pPr>
      <w:r>
        <w:rPr>
          <w:b/>
          <w:bCs/>
        </w:rPr>
      </w:r>
    </w:p>
    <w:p>
      <w:pPr>
        <w:pStyle w:val="Heading2"/>
        <w:rPr/>
      </w:pPr>
      <w:r>
        <w:rPr/>
        <w:t>Georgia</w:t>
      </w:r>
    </w:p>
    <w:p>
      <w:pPr>
        <w:pStyle w:val="Normal"/>
        <w:rPr>
          <w:b/>
          <w:bCs/>
        </w:rPr>
      </w:pPr>
      <w:r>
        <w:rPr>
          <w:b/>
          <w:bCs/>
        </w:rPr>
      </w:r>
    </w:p>
    <w:p>
      <w:pPr>
        <w:pStyle w:val="Normal"/>
        <w:rPr/>
      </w:pPr>
      <w:r>
        <w:rPr>
          <w:b/>
          <w:bCs/>
        </w:rPr>
        <w:t>Development Activities in Athens-Clark and Hart County:</w:t>
      </w:r>
      <w:r>
        <w:rPr/>
        <w:t xml:space="preserve">  Preparing, in coordination with outside counsel, Kirpatrick Stockton, water supply agreements with for two project sites.  Also, presently negotiating interconnection agreements with local utility to ensure that their agreements will comply with our accounting and finance rules.  These sites are likely to be “flipped” since we are presently negotiating letters of intent with Calpine and Florida Power &amp; Light for the sale of the project companies based on a purchase price that varies according to the achievement of certain project development milestones (ie, acquisition of environmental and land use permits; execution of water supply agreements).  The idea of this transaction is that it would resemble the Haywood sale.  Aaron Roffwarg of Bracewell &amp; Patterson has been engaged to serve as counsel for this transaction.  He was also involved in the Haywood sale.</w:t>
      </w:r>
    </w:p>
    <w:p>
      <w:pPr>
        <w:pStyle w:val="Normal"/>
        <w:rPr>
          <w:b/>
          <w:bCs/>
        </w:rPr>
      </w:pPr>
      <w:r>
        <w:rPr>
          <w:b/>
          <w:bCs/>
        </w:rPr>
      </w:r>
    </w:p>
    <w:p>
      <w:pPr>
        <w:pStyle w:val="Normal"/>
        <w:rPr/>
      </w:pPr>
      <w:r>
        <w:rPr>
          <w:b/>
          <w:bCs/>
        </w:rPr>
        <w:t xml:space="preserve">Doyle Project:  </w:t>
      </w:r>
      <w:r>
        <w:rPr/>
        <w:t>Although complete, occasional legal questions still arise in connection with it and I have the responsibility of responding to them (previously Stuart Zisman handled this Project).</w:t>
      </w:r>
    </w:p>
    <w:p>
      <w:pPr>
        <w:pStyle w:val="Normal"/>
        <w:rPr>
          <w:b/>
          <w:bCs/>
        </w:rPr>
      </w:pPr>
      <w:r>
        <w:rPr>
          <w:b/>
          <w:bCs/>
        </w:rPr>
      </w:r>
    </w:p>
    <w:p>
      <w:pPr>
        <w:pStyle w:val="Heading2"/>
        <w:rPr/>
      </w:pPr>
      <w:r>
        <w:rPr/>
        <w:t>Illinois</w:t>
      </w:r>
    </w:p>
    <w:p>
      <w:pPr>
        <w:pStyle w:val="Normal"/>
        <w:rPr>
          <w:b/>
          <w:bCs/>
        </w:rPr>
      </w:pPr>
      <w:r>
        <w:rPr>
          <w:b/>
          <w:bCs/>
        </w:rPr>
      </w:r>
    </w:p>
    <w:p>
      <w:pPr>
        <w:pStyle w:val="Normal"/>
        <w:rPr/>
      </w:pPr>
      <w:r>
        <w:rPr>
          <w:b/>
          <w:bCs/>
        </w:rPr>
        <w:t>Kendall County Site:</w:t>
      </w:r>
      <w:r>
        <w:rPr/>
        <w:t xml:space="preserve">  Earlier this year, negotiated with a counterparty for the purchase of the project company associated with this site.  That transaction failed; however, other potential buyers are still being sought.  In addition, the interconnection agreements with the local utility for this site and two others should be executed by the end of this week.</w:t>
      </w:r>
    </w:p>
    <w:p>
      <w:pPr>
        <w:pStyle w:val="Normal"/>
        <w:rPr>
          <w:b/>
          <w:bCs/>
        </w:rPr>
      </w:pPr>
      <w:r>
        <w:rPr>
          <w:b/>
          <w:bCs/>
        </w:rPr>
      </w:r>
    </w:p>
    <w:p>
      <w:pPr>
        <w:pStyle w:val="Heading2"/>
        <w:rPr/>
      </w:pPr>
      <w:r>
        <w:rPr/>
        <w:t>Missouri</w:t>
      </w:r>
    </w:p>
    <w:p>
      <w:pPr>
        <w:pStyle w:val="Normal"/>
        <w:rPr>
          <w:b/>
          <w:bCs/>
        </w:rPr>
      </w:pPr>
      <w:r>
        <w:rPr>
          <w:b/>
          <w:bCs/>
        </w:rPr>
      </w:r>
    </w:p>
    <w:p>
      <w:pPr>
        <w:pStyle w:val="Normal"/>
        <w:rPr>
          <w:b/>
          <w:bCs/>
        </w:rPr>
      </w:pPr>
      <w:r>
        <w:rPr>
          <w:b/>
          <w:bCs/>
        </w:rPr>
        <w:t>Development Activities for Three Sites</w:t>
      </w:r>
      <w:r>
        <w:rPr/>
        <w:t>:  In connection with three development sites, negotiating the respective interconnection agreements with the local utility there to ensure that they comply with our accounting and finance rules.  These agreements should be finalized and executed within the next two weeks.</w:t>
      </w:r>
    </w:p>
    <w:p>
      <w:pPr>
        <w:pStyle w:val="Normal"/>
        <w:rPr>
          <w:b/>
          <w:bCs/>
        </w:rPr>
      </w:pPr>
      <w:r>
        <w:rPr>
          <w:b/>
          <w:bCs/>
        </w:rPr>
      </w:r>
    </w:p>
    <w:p>
      <w:pPr>
        <w:pStyle w:val="Heading2"/>
        <w:rPr/>
      </w:pPr>
      <w:r>
        <w:rPr/>
        <w:t>New York</w:t>
      </w:r>
    </w:p>
    <w:p>
      <w:pPr>
        <w:pStyle w:val="Normal"/>
        <w:rPr>
          <w:b/>
          <w:bCs/>
        </w:rPr>
      </w:pPr>
      <w:r>
        <w:rPr>
          <w:b/>
          <w:bCs/>
        </w:rPr>
      </w:r>
    </w:p>
    <w:p>
      <w:pPr>
        <w:pStyle w:val="Normal"/>
        <w:rPr/>
      </w:pPr>
      <w:r>
        <w:rPr>
          <w:b/>
          <w:bCs/>
        </w:rPr>
        <w:t xml:space="preserve">Development Activity for Long Island:  </w:t>
      </w:r>
      <w:r>
        <w:rPr/>
        <w:t>Presently negotiating land acquisition agreement with a local landowner for a site in Long Island.  In the process of engaging LeBoeuf Lamb to review the enforceability of our form of option agreement in New York and they will also other legal support as necessary in accordance with the evolution of the project.</w:t>
      </w:r>
    </w:p>
    <w:p>
      <w:pPr>
        <w:pStyle w:val="Normal"/>
        <w:rPr>
          <w:b/>
          <w:bCs/>
        </w:rPr>
      </w:pPr>
      <w:r>
        <w:rPr>
          <w:b/>
          <w:bCs/>
        </w:rPr>
      </w:r>
    </w:p>
    <w:p>
      <w:pPr>
        <w:pStyle w:val="Normal"/>
        <w:rPr/>
      </w:pPr>
      <w:r>
        <w:rPr>
          <w:b/>
          <w:bCs/>
        </w:rPr>
        <w:t xml:space="preserve">Monetization of Onondaga Cogeneration L.P. Cash Flow Interest:  </w:t>
      </w:r>
      <w:r>
        <w:rPr/>
        <w:t>ENA commercial team is in the process of identifying potential buyers at the net present value of a long term cash flow interest of ENA’s associated with the Onondaga Cogeneration L.P. (“Onondaga”).  The critical legal step prior to enter into any susbtantive negotiations with potential buyers will be the acquisition of a consent from Onondaga to disclose the terms of the Cash Flow Interest Agreement since it contains very restrictive confidentiality obligations.  Mark Young of Andrews &amp; Kurth is outside counsel on the project since it initially seemed as if it would be a second quarter transaction.</w:t>
      </w:r>
    </w:p>
    <w:p>
      <w:pPr>
        <w:pStyle w:val="Normal"/>
        <w:rPr>
          <w:b/>
          <w:bCs/>
        </w:rPr>
      </w:pPr>
      <w:r>
        <w:rPr>
          <w:b/>
          <w:bCs/>
        </w:rPr>
      </w:r>
    </w:p>
    <w:p>
      <w:pPr>
        <w:pStyle w:val="Heading2"/>
        <w:rPr/>
      </w:pPr>
      <w:r>
        <w:rPr/>
        <w:t>Texas</w:t>
      </w:r>
    </w:p>
    <w:p>
      <w:pPr>
        <w:pStyle w:val="Normal"/>
        <w:rPr>
          <w:b/>
          <w:bCs/>
        </w:rPr>
      </w:pPr>
      <w:r>
        <w:rPr>
          <w:b/>
          <w:bCs/>
        </w:rPr>
      </w:r>
    </w:p>
    <w:p>
      <w:pPr>
        <w:pStyle w:val="Normal"/>
        <w:rPr/>
      </w:pPr>
      <w:r>
        <w:rPr>
          <w:b/>
          <w:bCs/>
        </w:rPr>
        <w:t>Austin Energy:</w:t>
      </w:r>
      <w:r>
        <w:rPr/>
        <w:t xml:space="preserve">  Although complete, occasional legal questions still arise in connection with it and I have the responsibility of responding to them (previously Stuart Zisman handled this Project).</w:t>
      </w:r>
    </w:p>
    <w:p>
      <w:pPr>
        <w:pStyle w:val="Normal"/>
        <w:rPr>
          <w:b/>
          <w:bCs/>
        </w:rPr>
      </w:pPr>
      <w:r>
        <w:rPr>
          <w:b/>
          <w:bCs/>
        </w:rPr>
      </w:r>
    </w:p>
    <w:p>
      <w:pPr>
        <w:pStyle w:val="Normal"/>
        <w:rPr/>
      </w:pPr>
      <w:r>
        <w:rPr>
          <w:b/>
          <w:bCs/>
        </w:rPr>
        <w:t xml:space="preserve">BPUB Coal Project:  </w:t>
      </w:r>
      <w:r>
        <w:rPr/>
        <w:t>This project involves the development of a coal-fueled baseload power plant in Brownsville, Texas and has the same counter-parties as those in the Tex-Mex project (Brownsville Public Utilities Board and the Port of Brownsville).  Presently, the activity is focused on the land acquisition agreements and subsequent development agreements will be required.  Aaron Roffwarg of Bracewell &amp; Patterson is involved given the similarities of the projects.</w:t>
      </w:r>
    </w:p>
    <w:p>
      <w:pPr>
        <w:pStyle w:val="Normal"/>
        <w:rPr>
          <w:b/>
          <w:bCs/>
        </w:rPr>
      </w:pPr>
      <w:r>
        <w:rPr>
          <w:b/>
          <w:bCs/>
        </w:rPr>
      </w:r>
    </w:p>
    <w:p>
      <w:pPr>
        <w:pStyle w:val="Normal"/>
        <w:rPr/>
      </w:pPr>
      <w:r>
        <w:rPr>
          <w:b/>
          <w:bCs/>
        </w:rPr>
        <w:t>Tex-Mex:</w:t>
      </w:r>
      <w:r>
        <w:rPr/>
        <w:t xml:space="preserve">  Presently, the critical steps associated with this Project are the Mexican off-taker’s achievement of Mexican government regulatory approvals in order to be able to import power from Texas and the transfer of all of the relevant project agreements into an off-balance sheet vehicle.  There is no immediate timetable for predicting when the former event will occur.</w:t>
      </w:r>
    </w:p>
    <w:p>
      <w:pPr>
        <w:pStyle w:val="Normal"/>
        <w:rPr>
          <w:b/>
          <w:bCs/>
        </w:rPr>
      </w:pPr>
      <w:r>
        <w:rPr>
          <w:b/>
          <w:bCs/>
        </w:rPr>
      </w:r>
    </w:p>
    <w:p>
      <w:pPr>
        <w:pStyle w:val="Heading2"/>
        <w:rPr/>
      </w:pPr>
      <w:r>
        <w:rPr/>
        <w:t>Wisconsin</w:t>
      </w:r>
    </w:p>
    <w:p>
      <w:pPr>
        <w:pStyle w:val="Normal"/>
        <w:rPr>
          <w:b/>
          <w:bCs/>
        </w:rPr>
      </w:pPr>
      <w:r>
        <w:rPr>
          <w:b/>
          <w:bCs/>
        </w:rPr>
      </w:r>
    </w:p>
    <w:p>
      <w:pPr>
        <w:pStyle w:val="Normal"/>
        <w:rPr/>
      </w:pPr>
      <w:r>
        <w:rPr>
          <w:b/>
          <w:bCs/>
        </w:rPr>
        <w:t>Development Activity:</w:t>
      </w:r>
      <w:r>
        <w:rPr/>
        <w:t xml:space="preserve">  Initial legal support concerning an interconnection study with a local utility for a potential merchant facility to be located in Wisconsin.</w:t>
      </w:r>
    </w:p>
    <w:p>
      <w:pPr>
        <w:pStyle w:val="Normal"/>
        <w:rPr>
          <w:u w:val="single"/>
        </w:rPr>
      </w:pPr>
      <w:r>
        <w:rPr>
          <w:u w:val="single"/>
        </w:rPr>
      </w:r>
    </w:p>
    <w:p>
      <w:pPr>
        <w:pStyle w:val="Normal"/>
        <w:rPr/>
      </w:pPr>
      <w:r>
        <w:rPr>
          <w:b/>
          <w:bCs/>
        </w:rPr>
        <w:tab/>
      </w:r>
      <w:r>
        <w:rPr>
          <w:b/>
          <w:bCs/>
          <w:u w:val="single"/>
        </w:rPr>
        <w:t>Other</w:t>
      </w:r>
    </w:p>
    <w:p>
      <w:pPr>
        <w:pStyle w:val="Normal"/>
        <w:rPr>
          <w:b/>
          <w:bCs/>
          <w:u w:val="single"/>
        </w:rPr>
      </w:pPr>
      <w:r>
        <w:rPr>
          <w:b/>
          <w:bCs/>
          <w:u w:val="single"/>
        </w:rPr>
      </w:r>
    </w:p>
    <w:p>
      <w:pPr>
        <w:pStyle w:val="Normal"/>
        <w:rPr/>
      </w:pPr>
      <w:r>
        <w:rPr>
          <w:b/>
          <w:bCs/>
        </w:rPr>
        <w:t xml:space="preserve">Westinghouse “Wet” Turbine Claim and Sale:  </w:t>
      </w:r>
      <w:r>
        <w:rPr/>
        <w:t>Britt Davis is managing the claims process against Westinghouse and our insurance carrier with respect to a turbine generator that was damaged during its maritime shipment.  In addition, the ENA commercial team is negotiating with a broker who help market and sell that turbine.</w:t>
      </w:r>
    </w:p>
    <w:p>
      <w:pPr>
        <w:pStyle w:val="Normal"/>
        <w:rPr/>
      </w:pPr>
      <w:r>
        <w:rPr/>
      </w:r>
    </w:p>
    <w:p>
      <w:pPr>
        <w:pStyle w:val="Normal"/>
        <w:rPr/>
      </w:pPr>
      <w:r>
        <w:rPr>
          <w:b/>
          <w:bCs/>
        </w:rPr>
        <w:t xml:space="preserve">Provision of Legal Support for Mitch Robinson’s Coal-Fueled Power Plant Development Group:  </w:t>
      </w:r>
      <w:r>
        <w:rPr/>
        <w:t>Provide general legal support to this group which entails the review and preparation of confidentiality agreements, consulting agreements, letters of intent etc.  In addition, the group is presently seeking to enter into an agreement with either Bechtel Power or Alstom Power so that such entity would serve as the exclusive EPC contractor and advisor for the group’s coal-fueled projects.</w:t>
      </w:r>
    </w:p>
    <w:p>
      <w:pPr>
        <w:pStyle w:val="Normal"/>
        <w:rPr>
          <w:b/>
          <w:bCs/>
        </w:rPr>
      </w:pPr>
      <w:r>
        <w:rPr>
          <w:b/>
          <w:bCs/>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2001-05-18T12:57:00Z</dcterms:created>
  <dc:creator>csole</dc:creator>
  <dc:description/>
  <dc:language>en-CA</dc:language>
  <cp:lastModifiedBy>csole</cp:lastModifiedBy>
  <cp:lastPrinted>2001-07-12T17:02:00Z</cp:lastPrinted>
  <dcterms:modified xsi:type="dcterms:W3CDTF">2001-07-12T19:32:00Z</dcterms:modified>
  <cp:revision>6</cp:revision>
  <dc:subject/>
  <dc:title>Pending Projects and Items</dc:title>
</cp:coreProperties>
</file>