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120"/>
        <w:jc w:val="center"/>
        <w:rPr>
          <w:b/>
          <w:lang w:val="en-US"/>
        </w:rPr>
      </w:pPr>
      <w:r>
        <w:rPr>
          <w:b/>
          <w:lang w:val="en-US"/>
        </w:rPr>
        <w:t>CONFIDENTIALITY AGREEMENT</w:t>
      </w:r>
    </w:p>
    <w:p>
      <w:pPr>
        <w:pStyle w:val="Normal"/>
        <w:spacing w:before="240" w:after="120"/>
        <w:jc w:val="both"/>
        <w:rPr>
          <w:b/>
          <w:lang w:val="en-US"/>
        </w:rPr>
      </w:pPr>
      <w:r>
        <w:rPr>
          <w:b/>
          <w:lang w:val="en-US"/>
        </w:rPr>
      </w:r>
    </w:p>
    <w:p>
      <w:pPr>
        <w:pStyle w:val="Normal"/>
        <w:spacing w:before="240" w:after="120"/>
        <w:jc w:val="both"/>
        <w:rPr/>
      </w:pPr>
      <w:r>
        <w:rPr>
          <w:b/>
          <w:lang w:val="en-US"/>
        </w:rPr>
        <w:tab/>
        <w:tab/>
        <w:t>CONFIDENTIALITY AGREEMENT</w:t>
      </w:r>
      <w:r>
        <w:rPr>
          <w:lang w:val="en-US"/>
        </w:rPr>
        <w:t xml:space="preserve"> (“Agreement”) dated as of May 22</w:t>
      </w:r>
      <w:r>
        <w:rPr>
          <w:vertAlign w:val="superscript"/>
          <w:lang w:val="en-US"/>
        </w:rPr>
        <w:t>th</w:t>
      </w:r>
      <w:r>
        <w:rPr>
          <w:lang w:val="en-US"/>
        </w:rPr>
        <w:t>.2001, by and between Pemex-Gas y Petroquímica Básica and _______________________ (together, the “Parties” and individually, a “Party”).</w:t>
      </w:r>
    </w:p>
    <w:p>
      <w:pPr>
        <w:pStyle w:val="Normal"/>
        <w:spacing w:before="240" w:after="120"/>
        <w:jc w:val="both"/>
        <w:rPr/>
      </w:pPr>
      <w:r>
        <w:rPr>
          <w:lang w:val="en-US"/>
        </w:rPr>
        <w:tab/>
        <w:tab/>
      </w:r>
      <w:r>
        <w:rPr>
          <w:b/>
          <w:lang w:val="en-US"/>
        </w:rPr>
        <w:t>WHEREAS</w:t>
      </w:r>
      <w:r>
        <w:rPr>
          <w:lang w:val="en-US"/>
        </w:rPr>
        <w:t xml:space="preserve">, the Parties may be entering into discussions concerning a possible business transaction involving commercial proposal for the supply of liquefied natural gas in Altamira, Tamaulipas (the “Discussions”), and in connection with the Discussions, each Party may be disclosing information concerning its business and operations to the other; and </w:t>
      </w:r>
    </w:p>
    <w:p>
      <w:pPr>
        <w:pStyle w:val="Normal"/>
        <w:spacing w:before="240" w:after="120"/>
        <w:jc w:val="both"/>
        <w:rPr/>
      </w:pPr>
      <w:r>
        <w:rPr>
          <w:lang w:val="en-US"/>
        </w:rPr>
        <w:tab/>
        <w:tab/>
      </w:r>
      <w:r>
        <w:rPr>
          <w:b/>
          <w:lang w:val="en-US"/>
        </w:rPr>
        <w:t>WHEREAS</w:t>
      </w:r>
      <w:r>
        <w:rPr>
          <w:lang w:val="en-US"/>
        </w:rPr>
        <w:t xml:space="preserve">, the Parties wish to maintain the confidentiality of the information and documents exchanged between them in connection with the Discussions; </w:t>
      </w:r>
    </w:p>
    <w:p>
      <w:pPr>
        <w:pStyle w:val="Normal"/>
        <w:spacing w:before="240" w:after="120"/>
        <w:jc w:val="both"/>
        <w:rPr/>
      </w:pPr>
      <w:r>
        <w:rPr>
          <w:lang w:val="en-US"/>
        </w:rPr>
        <w:tab/>
        <w:tab/>
      </w:r>
      <w:r>
        <w:rPr>
          <w:b/>
          <w:lang w:val="en-US"/>
        </w:rPr>
        <w:t>NOW, THEREFORE</w:t>
      </w:r>
      <w:r>
        <w:rPr>
          <w:lang w:val="en-US"/>
        </w:rPr>
        <w:t>, in consideration of the premises and mutual covenants and conditions set out herein, the Parties agree as follows:</w:t>
      </w:r>
    </w:p>
    <w:p>
      <w:pPr>
        <w:pStyle w:val="Normal"/>
        <w:numPr>
          <w:ilvl w:val="0"/>
          <w:numId w:val="2"/>
        </w:numPr>
        <w:spacing w:before="240" w:after="120"/>
        <w:ind w:firstLine="1440" w:start="0" w:end="0"/>
        <w:jc w:val="both"/>
        <w:rPr>
          <w:b/>
          <w:lang w:val="en-US"/>
        </w:rPr>
      </w:pPr>
      <w:r>
        <w:rPr>
          <w:b/>
          <w:u w:val="single"/>
          <w:lang w:val="en-US"/>
        </w:rPr>
        <w:t>Confidentiality</w:t>
      </w:r>
      <w:r>
        <w:rPr>
          <w:lang w:val="en-US"/>
        </w:rPr>
        <w:t xml:space="preserve">.  Each Party agrees to keep strictly confidential, for a period of 3 years from the date of this Agreement, (i) the substance of the Discussions and all memoranda and other documents exchanged between the Parties memorializing or otherwise relating to the Discussions and (ii) all information and documents relating to the business or operations of the other Party or its affiliates received therefrom in connection with the Discussions (all information and documents referred to in (i) and (ii) above being hereinafter referred to as the “Confidential Information”); provided, however, that each Party may disclose the Confidential Information to its affiliates and to the directors, officers, employees, agents, consultants, accountants and attorneys of itself or any of its affiliates (each an “Authorized Representative”) to the extent needed for the purpose of analyzing any transaction which is the subject of the Discussions, it being understood that, in the event of such disclosure, the disclosing Party shall ensure that the Authorized Representative shall be bound by and comply with the same obligations of confidentiality imposed upon the disclosing Party hereunder.  Notwithstanding the foregoing, this Agreement shall not apply to: (a) information in the public domain which was not made public by a breach of this Agreement; (b) information in the possession of either Party which was (1) developed independently or (2) obtained from a third party without violation of any applicable obligation of confidentiality; and (c) information required to be disclosed pursuant to applicable law, provided that the failure to make such disclosure would subject the Party to civil, administrative or criminal penalty, and provided further that the disclosing Party provides the other Party with prompt and timely notice of the request for such disclosure. </w:t>
      </w:r>
    </w:p>
    <w:p>
      <w:pPr>
        <w:pStyle w:val="Normal"/>
        <w:numPr>
          <w:ilvl w:val="0"/>
          <w:numId w:val="2"/>
        </w:numPr>
        <w:spacing w:before="240" w:after="120"/>
        <w:ind w:firstLine="1440" w:start="0" w:end="0"/>
        <w:jc w:val="both"/>
        <w:rPr>
          <w:b/>
          <w:lang w:val="en-US"/>
        </w:rPr>
      </w:pPr>
      <w:r>
        <w:rPr>
          <w:b/>
          <w:u w:val="single"/>
          <w:lang w:val="en-US"/>
        </w:rPr>
        <w:t>Non-Binding Discussions</w:t>
      </w:r>
      <w:r>
        <w:rPr>
          <w:lang w:val="en-US"/>
        </w:rPr>
        <w:t xml:space="preserve">. Notwithstanding the Discussions and this Agreement, neither the Parties nor any of their respective affiliates shall be bound to proceed with any transaction which may be the subject of the Discussions unless and until a definitive agreement is executed and delivered and any and all necessary authorizations or approvals therefor have been obtained.  Each Party reserves the right to reject any and all proposals made by the other Party and to terminate the Discussions at any time without liability; in this case each Party will promptly redeliver to the other all documents and all matter constituting Confidential Information, including all copies, extracts or reproductions thereof and all other documents and other matter containing or reflecting any Confidential Information (whether prepared by or on behalf of the disclosing Party or otherwise) and will not retain any copies, extracts or other reproductions in whole or in part thereof, except for a single archival copy that shall be maintained in confidence and utilized solely in the event of any dispute associated with the Confidential Information..  The Parties expressly acknowledge that each of them may engage in discussions with third parties (whether or not similar to the Discussions), and that (subject to the requirements of non-disclosure of Confidential Information hereunder) nothing herein shall be construed to restrict the right of either Party freely to engage in such discussions with third parties and to consummate any transaction as a result thereof, regardless whether the Parties reach agreement on a transaction in the Discussions. </w:t>
      </w:r>
    </w:p>
    <w:p>
      <w:pPr>
        <w:pStyle w:val="Normal"/>
        <w:numPr>
          <w:ilvl w:val="0"/>
          <w:numId w:val="2"/>
        </w:numPr>
        <w:spacing w:before="240" w:after="120"/>
        <w:ind w:firstLine="1440" w:start="0" w:end="0"/>
        <w:jc w:val="both"/>
        <w:rPr>
          <w:b/>
          <w:lang w:val="en-US"/>
        </w:rPr>
      </w:pPr>
      <w:r>
        <w:rPr>
          <w:b/>
          <w:u w:val="single"/>
          <w:lang w:val="en-US"/>
        </w:rPr>
        <w:t>Language</w:t>
      </w:r>
      <w:r>
        <w:rPr>
          <w:b/>
          <w:lang w:val="en-US"/>
        </w:rPr>
        <w:t xml:space="preserve">.  </w:t>
      </w:r>
      <w:r>
        <w:rPr>
          <w:lang w:val="en-US"/>
        </w:rPr>
        <w:t>This Agreement shall be executed in English.</w:t>
      </w:r>
    </w:p>
    <w:p>
      <w:pPr>
        <w:pStyle w:val="Normal"/>
        <w:numPr>
          <w:ilvl w:val="0"/>
          <w:numId w:val="2"/>
        </w:numPr>
        <w:spacing w:before="240" w:after="120"/>
        <w:ind w:firstLine="1440" w:start="0" w:end="0"/>
        <w:jc w:val="both"/>
        <w:rPr>
          <w:b/>
          <w:lang w:val="en-US"/>
        </w:rPr>
      </w:pPr>
      <w:r>
        <w:rPr>
          <w:b/>
          <w:u w:val="single"/>
          <w:lang w:val="en-US"/>
        </w:rPr>
        <w:t>Dispute Resolution</w:t>
      </w:r>
      <w:r>
        <w:rPr>
          <w:lang w:val="en-US"/>
        </w:rPr>
        <w:t>.  Any dispute, controversy or claim arising out of relating to this Agreement shall be settled by arbitration pursuant to the Rules of the International Chamber of Commerce (ICC) in effect on the date of this Agreement. There shall be one arbitrator. The place of arbitration shall be New York. The arbitration shall be conducted in Spanish language. The applicable law shall be Mexican law.</w:t>
      </w:r>
    </w:p>
    <w:p>
      <w:pPr>
        <w:pStyle w:val="Normal"/>
        <w:jc w:val="both"/>
        <w:rPr>
          <w:b/>
          <w:lang w:val="en-US"/>
        </w:rPr>
      </w:pPr>
      <w:r>
        <w:rPr>
          <w:b/>
          <w:lang w:val="en-US"/>
        </w:rPr>
      </w:r>
    </w:p>
    <w:p>
      <w:pPr>
        <w:pStyle w:val="Normal"/>
        <w:jc w:val="both"/>
        <w:rPr/>
      </w:pPr>
      <w:r>
        <w:rPr>
          <w:lang w:val="en-US"/>
        </w:rPr>
        <w:tab/>
        <w:tab/>
      </w:r>
      <w:r>
        <w:rPr>
          <w:b/>
          <w:lang w:val="en-US"/>
        </w:rPr>
        <w:t>IN WITNESS WHEREOF</w:t>
      </w:r>
      <w:r>
        <w:rPr>
          <w:lang w:val="en-US"/>
        </w:rPr>
        <w:t xml:space="preserve">, the Parties have executed this Agreement effective as of the date first written above. </w:t>
      </w:r>
    </w:p>
    <w:p>
      <w:pPr>
        <w:pStyle w:val="Normal"/>
        <w:jc w:val="both"/>
        <w:rPr>
          <w:b/>
          <w:sz w:val="26"/>
          <w:lang w:val="en-US"/>
        </w:rPr>
      </w:pPr>
      <w:r>
        <w:rPr>
          <w:b/>
          <w:sz w:val="26"/>
          <w:lang w:val="en-US"/>
        </w:rPr>
      </w:r>
    </w:p>
    <w:p>
      <w:pPr>
        <w:pStyle w:val="Normal"/>
        <w:jc w:val="both"/>
        <w:rPr>
          <w:b/>
          <w:sz w:val="26"/>
          <w:lang w:val="en-US"/>
        </w:rPr>
      </w:pPr>
      <w:r>
        <w:rPr>
          <w:b/>
          <w:sz w:val="26"/>
          <w:lang w:val="en-US"/>
        </w:rPr>
      </w:r>
    </w:p>
    <w:tbl>
      <w:tblPr>
        <w:tblW w:w="10843" w:type="dxa"/>
        <w:jc w:val="start"/>
        <w:tblInd w:w="0" w:type="dxa"/>
        <w:tblLayout w:type="fixed"/>
        <w:tblCellMar>
          <w:top w:w="0" w:type="dxa"/>
          <w:start w:w="70" w:type="dxa"/>
          <w:bottom w:w="0" w:type="dxa"/>
          <w:end w:w="70" w:type="dxa"/>
        </w:tblCellMar>
      </w:tblPr>
      <w:tblGrid>
        <w:gridCol w:w="5173"/>
        <w:gridCol w:w="558"/>
        <w:gridCol w:w="5112"/>
      </w:tblGrid>
      <w:tr>
        <w:trPr/>
        <w:tc>
          <w:tcPr>
            <w:tcW w:w="5173" w:type="dxa"/>
            <w:tcBorders/>
          </w:tcPr>
          <w:p>
            <w:pPr>
              <w:pStyle w:val="Normal"/>
              <w:rPr>
                <w:b/>
                <w:lang w:val="en-US"/>
              </w:rPr>
            </w:pPr>
            <w:r>
              <w:rPr>
                <w:b/>
                <w:lang w:val="en-US"/>
              </w:rPr>
              <w:t>_______________________________</w:t>
            </w:r>
          </w:p>
        </w:tc>
        <w:tc>
          <w:tcPr>
            <w:tcW w:w="558" w:type="dxa"/>
            <w:tcBorders/>
          </w:tcPr>
          <w:p>
            <w:pPr>
              <w:pStyle w:val="Normal"/>
              <w:snapToGrid w:val="false"/>
              <w:rPr>
                <w:b/>
                <w:lang w:val="en-US"/>
              </w:rPr>
            </w:pPr>
            <w:r>
              <w:rPr>
                <w:b/>
                <w:lang w:val="en-US"/>
              </w:rPr>
            </w:r>
          </w:p>
        </w:tc>
        <w:tc>
          <w:tcPr>
            <w:tcW w:w="5112" w:type="dxa"/>
            <w:tcBorders/>
          </w:tcPr>
          <w:p>
            <w:pPr>
              <w:pStyle w:val="Normal"/>
              <w:rPr>
                <w:b/>
              </w:rPr>
            </w:pPr>
            <w:r>
              <w:rPr>
                <w:b/>
              </w:rPr>
              <w:t>Pemex-Gas y Petroquímica Básica</w:t>
            </w:r>
          </w:p>
          <w:p>
            <w:pPr>
              <w:pStyle w:val="Normal"/>
              <w:rPr>
                <w:b/>
              </w:rPr>
            </w:pPr>
            <w:r>
              <w:rPr>
                <w:b/>
              </w:rPr>
            </w:r>
          </w:p>
        </w:tc>
      </w:tr>
      <w:tr>
        <w:trPr/>
        <w:tc>
          <w:tcPr>
            <w:tcW w:w="5173" w:type="dxa"/>
            <w:tcBorders/>
          </w:tcPr>
          <w:p>
            <w:pPr>
              <w:pStyle w:val="Normal"/>
              <w:snapToGrid w:val="false"/>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558" w:type="dxa"/>
            <w:tcBorders/>
          </w:tcPr>
          <w:p>
            <w:pPr>
              <w:pStyle w:val="Normal"/>
              <w:snapToGrid w:val="false"/>
              <w:rPr/>
            </w:pPr>
            <w:r>
              <w:rPr/>
            </w:r>
          </w:p>
        </w:tc>
        <w:tc>
          <w:tcPr>
            <w:tcW w:w="5112" w:type="dxa"/>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r>
      <w:tr>
        <w:trPr/>
        <w:tc>
          <w:tcPr>
            <w:tcW w:w="5173" w:type="dxa"/>
            <w:tcBorders>
              <w:top w:val="single" w:sz="4" w:space="0" w:color="000000"/>
            </w:tcBorders>
          </w:tcPr>
          <w:p>
            <w:pPr>
              <w:pStyle w:val="Normal"/>
              <w:snapToGrid w:val="false"/>
              <w:rPr/>
            </w:pPr>
            <w:r>
              <w:rPr/>
            </w:r>
          </w:p>
          <w:p>
            <w:pPr>
              <w:pStyle w:val="Normal"/>
              <w:rPr/>
            </w:pPr>
            <w:r>
              <w:rPr/>
            </w:r>
          </w:p>
          <w:p>
            <w:pPr>
              <w:pStyle w:val="Normal"/>
              <w:rPr/>
            </w:pPr>
            <w:r>
              <w:rPr/>
            </w:r>
          </w:p>
        </w:tc>
        <w:tc>
          <w:tcPr>
            <w:tcW w:w="558" w:type="dxa"/>
            <w:tcBorders/>
          </w:tcPr>
          <w:p>
            <w:pPr>
              <w:pStyle w:val="Normal"/>
              <w:snapToGrid w:val="false"/>
              <w:rPr/>
            </w:pPr>
            <w:r>
              <w:rPr/>
            </w:r>
          </w:p>
        </w:tc>
        <w:tc>
          <w:tcPr>
            <w:tcW w:w="5112" w:type="dxa"/>
            <w:tcBorders>
              <w:top w:val="single" w:sz="4" w:space="0" w:color="000000"/>
            </w:tcBorders>
          </w:tcPr>
          <w:p>
            <w:pPr>
              <w:pStyle w:val="Normal"/>
              <w:rPr/>
            </w:pPr>
            <w:r>
              <w:rPr/>
              <w:t>Act. Margarita Pérez Miranda</w:t>
            </w:r>
          </w:p>
          <w:p>
            <w:pPr>
              <w:pStyle w:val="Normal"/>
              <w:rPr/>
            </w:pPr>
            <w:r>
              <w:rPr/>
              <w:t>Gerente de Comercialización.</w:t>
            </w:r>
          </w:p>
        </w:tc>
      </w:tr>
      <w:tr>
        <w:trPr/>
        <w:tc>
          <w:tcPr>
            <w:tcW w:w="5173" w:type="dxa"/>
            <w:tcBorders/>
          </w:tcPr>
          <w:p>
            <w:pPr>
              <w:pStyle w:val="Normal"/>
              <w:snapToGrid w:val="false"/>
              <w:rPr/>
            </w:pPr>
            <w:r>
              <w:rPr/>
            </w:r>
          </w:p>
        </w:tc>
        <w:tc>
          <w:tcPr>
            <w:tcW w:w="558" w:type="dxa"/>
            <w:tcBorders/>
          </w:tcPr>
          <w:p>
            <w:pPr>
              <w:pStyle w:val="Normal"/>
              <w:snapToGrid w:val="false"/>
              <w:rPr/>
            </w:pPr>
            <w:r>
              <w:rPr/>
            </w:r>
          </w:p>
        </w:tc>
        <w:tc>
          <w:tcPr>
            <w:tcW w:w="5112" w:type="dxa"/>
            <w:tcBorders/>
          </w:tcPr>
          <w:p>
            <w:pPr>
              <w:pStyle w:val="Normal"/>
              <w:rPr/>
            </w:pPr>
            <w:r>
              <w:rPr/>
              <w:t xml:space="preserve">Av. Marina Nacional 329 Edif. B-1 </w:t>
            </w:r>
          </w:p>
          <w:p>
            <w:pPr>
              <w:pStyle w:val="Normal"/>
              <w:rPr/>
            </w:pPr>
            <w:r>
              <w:rPr/>
              <w:t>Piso 9</w:t>
            </w:r>
          </w:p>
          <w:p>
            <w:pPr>
              <w:pStyle w:val="Normal"/>
              <w:rPr/>
            </w:pPr>
            <w:r>
              <w:rPr/>
              <w:t>C.P. 11311</w:t>
            </w:r>
          </w:p>
          <w:p>
            <w:pPr>
              <w:pStyle w:val="Normal"/>
              <w:rPr/>
            </w:pPr>
            <w:r>
              <w:rPr/>
              <w:t>México, D.F.</w:t>
            </w:r>
          </w:p>
        </w:tc>
      </w:tr>
    </w:tbl>
    <w:p>
      <w:pPr>
        <w:pStyle w:val="Normal"/>
        <w:jc w:val="both"/>
        <w:rPr>
          <w:b/>
        </w:rPr>
      </w:pPr>
      <w:r>
        <w:rPr>
          <w:b/>
        </w:rPr>
      </w:r>
    </w:p>
    <w:sectPr>
      <w:footerReference w:type="default" r:id="rId2"/>
      <w:footerReference w:type="first" r:id="rId3"/>
      <w:type w:val="nextPage"/>
      <w:pgSz w:w="12240" w:h="15840"/>
      <w:pgMar w:left="1440" w:right="1440" w:gutter="0" w:header="0" w:top="1417" w:footer="720"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8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docVars>
    <w:docVar w:name="Level1" w:val="lv1i"/>
    <w:docVar w:name="Level1After" w:val=""/>
    <w:docVar w:name="Level1Before" w:val=""/>
    <w:docVar w:name="Level1name" w:val="I"/>
    <w:docVar w:name="Level2" w:val="lv211"/>
    <w:docVar w:name="Level2after" w:val=""/>
    <w:docVar w:name="Level2Before" w:val=""/>
    <w:docVar w:name="Level2name" w:val="1.1"/>
    <w:docVar w:name="Level3" w:val="lv3111"/>
    <w:docVar w:name="Level3after" w:val=""/>
    <w:docVar w:name="Level3Before" w:val=""/>
    <w:docVar w:name="Level3name" w:val="1.1.1"/>
    <w:docVar w:name="Level4" w:val="lv4adot"/>
    <w:docVar w:name="Level4After" w:val=")"/>
    <w:docVar w:name="Level4Before" w:val="("/>
    <w:docVar w:name="Level4name" w:val="a"/>
    <w:docVar w:name="Level5" w:val="lv5i"/>
    <w:docVar w:name="Level5After" w:val=")"/>
    <w:docVar w:name="Level5Before" w:val="("/>
    <w:docVar w:name="Level5name" w:val="i"/>
    <w:docVar w:name="Level6" w:val="lv61"/>
    <w:docVar w:name="Level6After" w:val=")"/>
    <w:docVar w:name="Level6Before" w:val="("/>
    <w:docVar w:name="Level6name" w:val="1"/>
    <w:docVar w:name="Levela" w:val=" 0"/>
    <w:docVar w:name="Levelb" w:val=" 0"/>
    <w:docVar w:name="Levelc" w:val=" 0"/>
    <w:docVar w:name="Leveld" w:val=" 1"/>
    <w:docVar w:name="Levele" w:val=" 0"/>
    <w:docVar w:name="Levelf" w:val=" 2"/>
    <w:docVar w:name="Version" w:val=".0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s-ES_tradnl" w:bidi="ar-SA" w:eastAsia="zh-CN"/>
    </w:rPr>
  </w:style>
  <w:style w:type="paragraph" w:styleId="Heading1">
    <w:name w:val="heading 1"/>
    <w:basedOn w:val="Normal"/>
    <w:next w:val="Normal"/>
    <w:qFormat/>
    <w:pPr>
      <w:keepNext w:val="true"/>
      <w:numPr>
        <w:ilvl w:val="0"/>
        <w:numId w:val="1"/>
      </w:numPr>
      <w:spacing w:before="240" w:after="120"/>
      <w:jc w:val="center"/>
      <w:outlineLvl w:val="0"/>
    </w:pPr>
    <w:rPr>
      <w:b/>
      <w:sz w:val="28"/>
      <w:lang w:val="en-US"/>
    </w:rPr>
  </w:style>
  <w:style w:type="paragraph" w:styleId="Heading2">
    <w:name w:val="heading 2"/>
    <w:basedOn w:val="Normal"/>
    <w:next w:val="Normal"/>
    <w:qFormat/>
    <w:pPr>
      <w:keepNext w:val="true"/>
      <w:numPr>
        <w:ilvl w:val="1"/>
        <w:numId w:val="1"/>
      </w:numPr>
      <w:spacing w:before="240" w:after="120"/>
      <w:jc w:val="center"/>
      <w:outlineLvl w:val="1"/>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PCaption">
    <w:name w:val="CPCaption"/>
    <w:basedOn w:val="Normal"/>
    <w:qFormat/>
    <w:pPr/>
    <w:rPr>
      <w:rFonts w:ascii="Courier New" w:hAnsi="Courier New" w:cs="Courier New"/>
      <w:sz w:val="22"/>
    </w:rPr>
  </w:style>
  <w:style w:type="paragraph" w:styleId="Dashes">
    <w:name w:val="Dashes"/>
    <w:qFormat/>
    <w:pPr>
      <w:widowControl/>
      <w:tabs>
        <w:tab w:val="clear" w:pos="720"/>
        <w:tab w:val="right" w:pos="5731" w:leader="hyphen"/>
      </w:tabs>
      <w:bidi w:val="0"/>
      <w:ind w:hanging="0" w:start="-216" w:end="0"/>
    </w:pPr>
    <w:rPr>
      <w:rFonts w:ascii="Courier New" w:hAnsi="Courier New" w:eastAsia="Times New Roman" w:cs="Courier New"/>
      <w:color w:val="auto"/>
      <w:spacing w:val="60"/>
      <w:sz w:val="24"/>
      <w:szCs w:val="20"/>
      <w:lang w:val="en-US" w:eastAsia="en-CA" w:bidi="ar-SA"/>
    </w:rPr>
  </w:style>
  <w:style w:type="paragraph" w:styleId="EnvelopeAddress">
    <w:name w:val="envelope address"/>
    <w:basedOn w:val="Normal"/>
    <w:pPr>
      <w:ind w:hanging="0" w:start="2880" w:end="0"/>
    </w:pPr>
    <w:rPr>
      <w:b/>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770" w:leader="none"/>
        <w:tab w:val="right" w:pos="9360" w:leader="none"/>
      </w:tabs>
    </w:pPr>
    <w:rPr/>
  </w:style>
  <w:style w:type="paragraph" w:styleId="hwsLastFooter">
    <w:name w:val="hwsLastFooter"/>
    <w:qFormat/>
    <w:pPr>
      <w:widowControl/>
      <w:bidi w:val="0"/>
      <w:spacing w:before="0" w:after="360"/>
    </w:pPr>
    <w:rPr>
      <w:rFonts w:ascii="Times New Roman" w:hAnsi="Times New Roman" w:eastAsia="Times New Roman" w:cs="Times New Roman"/>
      <w:color w:val="FF0000"/>
      <w:sz w:val="14"/>
      <w:szCs w:val="20"/>
      <w:lang w:val="en-US" w:eastAsia="en-CA" w:bidi="ar-SA"/>
    </w:rPr>
  </w:style>
  <w:style w:type="paragraph" w:styleId="LastFooter">
    <w:name w:val="LastFooter"/>
    <w:qFormat/>
    <w:pPr>
      <w:widowControl/>
      <w:bidi w:val="0"/>
      <w:spacing w:before="0" w:after="360"/>
    </w:pPr>
    <w:rPr>
      <w:rFonts w:ascii="Times New Roman" w:hAnsi="Times New Roman" w:eastAsia="Times New Roman" w:cs="Times New Roman"/>
      <w:color w:val="auto"/>
      <w:sz w:val="16"/>
      <w:szCs w:val="20"/>
      <w:lang w:val="en-US" w:eastAsia="en-CA" w:bidi="ar-SA"/>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Arial" w:hAnsi="Arial" w:eastAsia="Times New Roman" w:cs="Arial"/>
      <w:color w:val="auto"/>
      <w:sz w:val="20"/>
      <w:szCs w:val="20"/>
      <w:lang w:val="en-US" w:bidi="ar-SA" w:eastAsia="zh-CN"/>
    </w:rPr>
  </w:style>
  <w:style w:type="paragraph" w:styleId="SignatureBlockFirm">
    <w:name w:val="SignatureBlockFirm"/>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2001-06-13T11:49:00Z</dcterms:created>
  <dc:creator>Javier Jiménez</dc:creator>
  <dc:description>OTHER</dc:description>
  <cp:keywords>.01</cp:keywords>
  <dc:language>en-CA</dc:language>
  <cp:lastModifiedBy>AEP</cp:lastModifiedBy>
  <cp:lastPrinted>1999-10-08T11:51:00Z</cp:lastPrinted>
  <dcterms:modified xsi:type="dcterms:W3CDTF">2001-06-13T11:49:00Z</dcterms:modified>
  <cp:revision>2</cp:revision>
  <dc:subject>558457-000001</dc:subject>
  <dc:title>MEX15619</dc:title>
</cp:coreProperties>
</file>