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August 25, 1999</w:t>
      </w:r>
    </w:p>
    <w:p>
      <w:pPr>
        <w:pStyle w:val="Normal"/>
        <w:widowControl/>
        <w:rPr>
          <w:sz w:val="22"/>
          <w:u w:val="single"/>
        </w:rPr>
      </w:pPr>
      <w:r>
        <w:rPr>
          <w:sz w:val="22"/>
          <w:u w:val="single"/>
        </w:rPr>
      </w:r>
    </w:p>
    <w:p>
      <w:pPr>
        <w:pStyle w:val="Normal"/>
        <w:widowControl/>
        <w:ind w:firstLine="720" w:end="0"/>
        <w:rPr>
          <w:sz w:val="22"/>
        </w:rPr>
      </w:pPr>
      <w:r>
        <w:rPr>
          <w:sz w:val="22"/>
        </w:rPr>
        <w:t>To:</w:t>
        <w:tab/>
        <w:tab/>
        <w:tab/>
        <w:tab/>
        <w:t>The Peltz Group, Inc. (“Party B”)</w:t>
      </w:r>
    </w:p>
    <w:p>
      <w:pPr>
        <w:pStyle w:val="Normal"/>
        <w:widowControl/>
        <w:rPr>
          <w:sz w:val="22"/>
        </w:rPr>
      </w:pPr>
      <w:r>
        <w:rPr>
          <w:sz w:val="22"/>
        </w:rPr>
      </w:r>
    </w:p>
    <w:p>
      <w:pPr>
        <w:pStyle w:val="Normal"/>
        <w:widowControl/>
        <w:ind w:firstLine="720" w:end="0"/>
        <w:rPr>
          <w:sz w:val="22"/>
        </w:rPr>
      </w:pPr>
      <w:r>
        <w:rPr>
          <w:sz w:val="22"/>
        </w:rPr>
        <w:t xml:space="preserve">Attention: </w:t>
        <w:tab/>
        <w:tab/>
        <w:tab/>
        <w:t>Brian Fieklow</w:t>
      </w:r>
    </w:p>
    <w:p>
      <w:pPr>
        <w:pStyle w:val="Normal"/>
        <w:widowControl/>
        <w:rPr>
          <w:sz w:val="22"/>
        </w:rPr>
      </w:pPr>
      <w:r>
        <w:rPr>
          <w:sz w:val="22"/>
        </w:rPr>
      </w:r>
    </w:p>
    <w:p>
      <w:pPr>
        <w:pStyle w:val="Normal"/>
        <w:widowControl/>
        <w:ind w:firstLine="720" w:end="0"/>
        <w:rPr>
          <w:sz w:val="22"/>
        </w:rPr>
      </w:pPr>
      <w:r>
        <w:rPr>
          <w:sz w:val="22"/>
        </w:rPr>
        <w:t>Fax Number:</w:t>
        <w:tab/>
        <w:tab/>
        <w:tab/>
        <w:t>(414) 967-1808</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ECT Deal No. N09107.1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May 19, 1999,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18,000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500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Old Corrugated Containers #11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August 25,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September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August 31, 2002</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sz w:val="22"/>
              </w:rPr>
            </w:pPr>
            <w:r>
              <w:rPr>
                <w:color w:val="000000"/>
                <w:sz w:val="22"/>
              </w:rPr>
              <w:t>Monthly periods, with the first Calculation Period commencing on September 1, 1999 and the final Calculation Period ending on August 31, 2002</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$74.00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sz w:val="22"/>
              </w:rPr>
            </w:pPr>
            <w:r>
              <w:rPr>
                <w:color w:val="000000"/>
                <w:sz w:val="22"/>
              </w:rPr>
              <w:t xml:space="preserve">The Floating Price for each Calculation Period shall be the high price per Short Ton of Old Corrugated Containers  #11, stated in U.S. Dollars, published under the headings “Transacted paper stock prices: OCC (11)” opposite the caption “Southeast” in the second issue of each month of </w:t>
            </w:r>
            <w:r>
              <w:rPr>
                <w:color w:val="000000"/>
                <w:sz w:val="22"/>
                <w:u w:val="single"/>
              </w:rPr>
              <w:t>Official Board Markets</w:t>
            </w:r>
            <w:r>
              <w:rPr>
                <w:color w:val="000000"/>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sz w:val="22"/>
              </w:rPr>
            </w:pPr>
            <w:r>
              <w:rPr>
                <w:color w:val="000000"/>
                <w:sz w:val="22"/>
              </w:rPr>
              <w:t xml:space="preserve">Date of publication of </w:t>
            </w:r>
            <w:r>
              <w:rPr>
                <w:color w:val="000000"/>
                <w:sz w:val="22"/>
                <w:u w:val="single"/>
              </w:rPr>
              <w:t>Official Board Markets</w:t>
            </w:r>
            <w:r>
              <w:rPr>
                <w:color w:val="000000"/>
                <w:sz w:val="22"/>
              </w:rPr>
              <w:t xml:space="preserve"> (the second issue of each month), or any successor publication, published by Official Board Markets or its successor (such publication, </w:t>
            </w:r>
            <w:r>
              <w:rPr>
                <w:color w:val="000000"/>
                <w:sz w:val="22"/>
                <w:u w:val="single"/>
              </w:rPr>
              <w:t>“Official Board Markets”)</w:t>
            </w:r>
            <w:r>
              <w:rPr>
                <w:color w:val="000000"/>
                <w:sz w:val="22"/>
              </w:rPr>
              <w:t xml:space="preserve">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sz w:val="22"/>
              </w:rPr>
            </w:pPr>
            <w:r>
              <w:rPr>
                <w:color w:val="000000"/>
                <w:sz w:val="22"/>
              </w:rPr>
              <w:t xml:space="preserve">The Fallback Reference Price for each Calculation Period shall be the price per Short Ton of Old Corrugated Containers #11, stated in U.S. Dollars per Short Ton, published under the headings “Table 2: </w:t>
            </w:r>
            <w:r>
              <w:rPr>
                <w:sz w:val="22"/>
              </w:rPr>
              <w:t>Recovered Paper Monthly Price Summary: U.S. Recovered Paper</w:t>
            </w:r>
            <w:r>
              <w:rPr>
                <w:color w:val="000000"/>
                <w:sz w:val="22"/>
              </w:rPr>
              <w:t xml:space="preserve">: Dollars per Short Ton: Corrugated: OCC (11)” in the issue of the </w:t>
            </w:r>
            <w:r>
              <w:rPr>
                <w:color w:val="000000"/>
                <w:sz w:val="22"/>
                <w:u w:val="single"/>
              </w:rPr>
              <w:t>Recovered Materials Monitor,</w:t>
            </w:r>
            <w:r>
              <w:rPr>
                <w:color w:val="000000"/>
                <w:sz w:val="22"/>
              </w:rPr>
              <w:t xml:space="preserve"> or its successor publication, as published by Resource Information Systems, Inc. (or its successor) that reports prices effective on the Pricing Date for such Calculation Period</w:t>
            </w:r>
          </w:p>
        </w:tc>
      </w:tr>
    </w:tbl>
    <w:p>
      <w:pPr>
        <w:pStyle w:val="Normal"/>
        <w:widowControl/>
        <w:jc w:val="both"/>
        <w:rPr>
          <w:sz w:val="22"/>
        </w:rPr>
      </w:pPr>
      <w:r>
        <w:rPr>
          <w:sz w:val="22"/>
        </w:rPr>
      </w:r>
    </w:p>
    <w:p>
      <w:pPr>
        <w:pStyle w:val="Normal"/>
        <w:widowControl/>
        <w:tabs>
          <w:tab w:val="clear" w:pos="720"/>
          <w:tab w:val="left" w:pos="4770" w:leader="none"/>
        </w:tabs>
        <w:ind w:hanging="4770" w:start="4770" w:end="0"/>
        <w:jc w:val="both"/>
        <w:rPr/>
      </w:pPr>
      <w:r>
        <w:rPr>
          <w:b/>
          <w:sz w:val="22"/>
          <w:u w:val="single"/>
        </w:rPr>
        <w:t>Other Provisions</w:t>
      </w:r>
      <w:r>
        <w:rPr>
          <w:sz w:val="22"/>
        </w:rPr>
        <w:tab/>
        <w:t>Notwithstanding any other termination provision contained in the Agreement, as long as no Early Termination Date with respect to the Transaction has occurred or been designated, the parties agree that Party A may terminate this Transaction in whole or in part on any Business Day from and including the Trade Date to and including September 8, 1999 by giving telephonic notice (which shall be irrevocable) to Party B no later than 5:00 p.m. (CST) of it’s intention to terminate this Transaction, and this Transaction will terminate on such date (the ‘Optional Early Termination Date’). Party A shall deliver to Party B written confirmation of such telephonic notice one Business Day following the Optional Early Termination Date, provided however, that failure to deliver such written confirmation within the specified time period shall in no way affect or suspend the validity of the telephonic notice.</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The Peltz Group, Inc.</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Deal No. N09107.1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1999-09-01T10:43:00Z</dcterms:created>
  <dc:creator>Enron</dc:creator>
  <dc:description/>
  <dc:language>en-CA</dc:language>
  <cp:lastModifiedBy>jcyprow</cp:lastModifiedBy>
  <cp:lastPrinted>1999-09-02T16:04:00Z</cp:lastPrinted>
  <dcterms:modified xsi:type="dcterms:W3CDTF">1999-09-03T10:27:00Z</dcterms:modified>
  <cp:revision>10</cp:revision>
  <dc:subject/>
  <dc:title>[ECT LETTERHEAD]</dc:title>
</cp:coreProperties>
</file>