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4"/>
        </w:rPr>
      </w:pPr>
      <w:r>
        <w:rPr>
          <w:sz w:val="24"/>
        </w:rPr>
        <w:t>RAA-RC 12/19/01</w:t>
      </w:r>
    </w:p>
    <w:p>
      <w:pPr>
        <w:pStyle w:val="Heading"/>
        <w:jc w:val="end"/>
        <w:rPr>
          <w:sz w:val="24"/>
        </w:rPr>
      </w:pPr>
      <w:r>
        <w:rPr>
          <w:sz w:val="24"/>
        </w:rPr>
        <w:t>Agenda Item 7</w:t>
      </w:r>
    </w:p>
    <w:p>
      <w:pPr>
        <w:pStyle w:val="Heading"/>
        <w:rPr>
          <w:sz w:val="24"/>
        </w:rPr>
      </w:pPr>
      <w:r>
        <w:rPr>
          <w:sz w:val="24"/>
        </w:rPr>
      </w:r>
    </w:p>
    <w:p>
      <w:pPr>
        <w:pStyle w:val="Heading"/>
        <w:rPr/>
      </w:pPr>
      <w:r>
        <w:rPr/>
        <w:t>PECO FORECAST LOAD IMPLEMENTATION PROCEDURE</w:t>
      </w:r>
    </w:p>
    <w:p>
      <w:pPr>
        <w:pStyle w:val="Normal"/>
        <w:rPr/>
      </w:pPr>
      <w:r>
        <w:rPr/>
      </w:r>
    </w:p>
    <w:p>
      <w:pPr>
        <w:pStyle w:val="Normal"/>
        <w:rPr/>
      </w:pPr>
      <w:r>
        <w:rPr/>
      </w:r>
    </w:p>
    <w:p>
      <w:pPr>
        <w:pStyle w:val="Heading1"/>
        <w:ind w:hanging="0" w:start="0"/>
        <w:rPr/>
      </w:pPr>
      <w:r>
        <w:rPr/>
        <w:t>OBJECTIVES</w:t>
      </w:r>
    </w:p>
    <w:p>
      <w:pPr>
        <w:pStyle w:val="Normal"/>
        <w:rPr>
          <w:sz w:val="20"/>
        </w:rPr>
      </w:pPr>
      <w:r>
        <w:rPr>
          <w:sz w:val="20"/>
        </w:rPr>
      </w:r>
    </w:p>
    <w:p>
      <w:pPr>
        <w:pStyle w:val="Normal"/>
        <w:rPr>
          <w:sz w:val="20"/>
        </w:rPr>
      </w:pPr>
      <w:r>
        <w:rPr>
          <w:sz w:val="20"/>
        </w:rPr>
        <w:t>Have capacity obligation use forecast load for zones to improve reliability.</w:t>
      </w:r>
    </w:p>
    <w:p>
      <w:pPr>
        <w:pStyle w:val="Normal"/>
        <w:rPr>
          <w:sz w:val="20"/>
        </w:rPr>
      </w:pPr>
      <w:r>
        <w:rPr>
          <w:sz w:val="20"/>
        </w:rPr>
      </w:r>
    </w:p>
    <w:p>
      <w:pPr>
        <w:pStyle w:val="Normal"/>
        <w:rPr>
          <w:sz w:val="20"/>
        </w:rPr>
      </w:pPr>
      <w:r>
        <w:rPr>
          <w:sz w:val="20"/>
        </w:rPr>
        <w:t>Satisfy concerns of LSEs about the accuracy and fairness of the loads assigned to them.</w:t>
      </w:r>
    </w:p>
    <w:p>
      <w:pPr>
        <w:pStyle w:val="Normal"/>
        <w:rPr>
          <w:sz w:val="20"/>
        </w:rPr>
      </w:pPr>
      <w:r>
        <w:rPr>
          <w:sz w:val="20"/>
        </w:rPr>
      </w:r>
    </w:p>
    <w:p>
      <w:pPr>
        <w:pStyle w:val="Normal"/>
        <w:rPr>
          <w:sz w:val="20"/>
        </w:rPr>
      </w:pPr>
      <w:r>
        <w:rPr>
          <w:sz w:val="20"/>
        </w:rPr>
        <w:t>Minimize extra cost to EDCs to calculate LSE and EDC obligations.</w:t>
      </w:r>
    </w:p>
    <w:p>
      <w:pPr>
        <w:pStyle w:val="Normal"/>
        <w:rPr>
          <w:sz w:val="20"/>
        </w:rPr>
      </w:pPr>
      <w:r>
        <w:rPr>
          <w:sz w:val="20"/>
        </w:rPr>
      </w:r>
    </w:p>
    <w:p>
      <w:pPr>
        <w:pStyle w:val="Heading1"/>
        <w:ind w:hanging="0" w:start="0"/>
        <w:rPr/>
      </w:pPr>
      <w:r>
        <w:rPr/>
        <w:t>APPROACH</w:t>
      </w:r>
    </w:p>
    <w:p>
      <w:pPr>
        <w:pStyle w:val="Heading2"/>
        <w:ind w:hanging="0" w:start="0"/>
        <w:rPr>
          <w:sz w:val="20"/>
        </w:rPr>
      </w:pPr>
      <w:r>
        <w:rPr>
          <w:sz w:val="20"/>
        </w:rPr>
      </w:r>
    </w:p>
    <w:p>
      <w:pPr>
        <w:pStyle w:val="Normal"/>
        <w:rPr>
          <w:sz w:val="20"/>
        </w:rPr>
      </w:pPr>
      <w:r>
        <w:rPr>
          <w:sz w:val="20"/>
        </w:rPr>
        <w:t>Do not change any of the current load calculation methodology for customers (i.e. base calculations on the previous summer’s 5CP weather normalized loads).</w:t>
      </w:r>
    </w:p>
    <w:p>
      <w:pPr>
        <w:pStyle w:val="Normal"/>
        <w:rPr>
          <w:sz w:val="20"/>
        </w:rPr>
      </w:pPr>
      <w:r>
        <w:rPr>
          <w:sz w:val="20"/>
        </w:rPr>
      </w:r>
    </w:p>
    <w:p>
      <w:pPr>
        <w:pStyle w:val="Normal"/>
        <w:rPr>
          <w:sz w:val="20"/>
        </w:rPr>
      </w:pPr>
      <w:r>
        <w:rPr>
          <w:sz w:val="20"/>
        </w:rPr>
        <w:t>EDCs will upload aggregate loads for LSEs and themselves on a bottom up basis (no residual method), with new customers using default load estimates and closed customer accounts showing zero load.</w:t>
      </w:r>
    </w:p>
    <w:p>
      <w:pPr>
        <w:pStyle w:val="Normal"/>
        <w:rPr>
          <w:sz w:val="20"/>
        </w:rPr>
      </w:pPr>
      <w:r>
        <w:rPr>
          <w:sz w:val="20"/>
        </w:rPr>
      </w:r>
    </w:p>
    <w:p>
      <w:pPr>
        <w:pStyle w:val="Normal"/>
        <w:rPr>
          <w:sz w:val="20"/>
        </w:rPr>
      </w:pPr>
      <w:r>
        <w:rPr>
          <w:sz w:val="20"/>
        </w:rPr>
        <w:t>PJM will take the aggregated loads for all suppliers in a zone and scale them up to meet the current planning year forecast load for that zone before calculating the capacity obligation for each supplier.</w:t>
      </w:r>
    </w:p>
    <w:p>
      <w:pPr>
        <w:pStyle w:val="Normal"/>
        <w:rPr>
          <w:sz w:val="20"/>
        </w:rPr>
      </w:pPr>
      <w:r>
        <w:rPr>
          <w:sz w:val="20"/>
        </w:rPr>
      </w:r>
    </w:p>
    <w:p>
      <w:pPr>
        <w:pStyle w:val="Normal"/>
        <w:rPr>
          <w:sz w:val="20"/>
        </w:rPr>
      </w:pPr>
      <w:r>
        <w:rPr>
          <w:sz w:val="20"/>
        </w:rPr>
        <w:t>Suppliers should be able to estimate the capacity obligation for their customers by knowing:</w:t>
      </w:r>
    </w:p>
    <w:p>
      <w:pPr>
        <w:pStyle w:val="Normal"/>
        <w:numPr>
          <w:ilvl w:val="0"/>
          <w:numId w:val="2"/>
        </w:numPr>
        <w:tabs>
          <w:tab w:val="left" w:pos="720" w:leader="none"/>
        </w:tabs>
        <w:rPr>
          <w:sz w:val="20"/>
        </w:rPr>
      </w:pPr>
      <w:r>
        <w:rPr>
          <w:sz w:val="20"/>
        </w:rPr>
        <w:t>the Jan. 1 posted customer load based on the previous summer weather normalized zone peak load,</w:t>
      </w:r>
    </w:p>
    <w:p>
      <w:pPr>
        <w:pStyle w:val="Normal"/>
        <w:numPr>
          <w:ilvl w:val="0"/>
          <w:numId w:val="2"/>
        </w:numPr>
        <w:tabs>
          <w:tab w:val="left" w:pos="720" w:leader="none"/>
        </w:tabs>
        <w:rPr>
          <w:sz w:val="20"/>
        </w:rPr>
      </w:pPr>
      <w:r>
        <w:rPr>
          <w:sz w:val="20"/>
        </w:rPr>
        <w:t>the weather normalized zone peak load, and</w:t>
      </w:r>
    </w:p>
    <w:p>
      <w:pPr>
        <w:pStyle w:val="Normal"/>
        <w:numPr>
          <w:ilvl w:val="0"/>
          <w:numId w:val="2"/>
        </w:numPr>
        <w:tabs>
          <w:tab w:val="left" w:pos="720" w:leader="none"/>
        </w:tabs>
        <w:rPr>
          <w:sz w:val="20"/>
        </w:rPr>
      </w:pPr>
      <w:r>
        <w:rPr>
          <w:sz w:val="20"/>
        </w:rPr>
        <w:t>the forecast zone load for the current planning period.</w:t>
      </w:r>
    </w:p>
    <w:p>
      <w:pPr>
        <w:pStyle w:val="Normal"/>
        <w:rPr>
          <w:sz w:val="20"/>
        </w:rPr>
      </w:pPr>
      <w:r>
        <w:rPr>
          <w:sz w:val="20"/>
        </w:rPr>
      </w:r>
    </w:p>
    <w:p>
      <w:pPr>
        <w:pStyle w:val="Normal"/>
        <w:rPr>
          <w:sz w:val="20"/>
        </w:rPr>
      </w:pPr>
      <w:r>
        <w:rPr>
          <w:sz w:val="20"/>
        </w:rPr>
        <w:t>But for the effect of customers entering or leaving a zone, the ICAP load for a customer should equal the Jan. 1 posted load multiplied by the ratio of the forecast zone load to the weather normalized zone peak load.   This estimate will generally be very slightly high compared to what PJM will impute by the daily scaling of LSE and EDC total loads, since the default loads for new customers added since the Jan. 1 numbers are calculated will increase the customer load base which is then scaled up to meet the forecast load target.</w:t>
      </w:r>
    </w:p>
    <w:p>
      <w:pPr>
        <w:pStyle w:val="Normal"/>
        <w:rPr>
          <w:sz w:val="20"/>
        </w:rPr>
      </w:pPr>
      <w:r>
        <w:rPr>
          <w:sz w:val="20"/>
        </w:rPr>
      </w:r>
    </w:p>
    <w:p>
      <w:pPr>
        <w:pStyle w:val="Normal"/>
        <w:rPr>
          <w:sz w:val="20"/>
        </w:rPr>
      </w:pPr>
      <w:r>
        <w:rPr>
          <w:sz w:val="20"/>
        </w:rPr>
        <w:t xml:space="preserve">Possible Concern:  </w:t>
      </w:r>
    </w:p>
    <w:p>
      <w:pPr>
        <w:pStyle w:val="Normal"/>
        <w:rPr>
          <w:sz w:val="20"/>
        </w:rPr>
      </w:pPr>
      <w:r>
        <w:rPr>
          <w:sz w:val="20"/>
        </w:rPr>
      </w:r>
    </w:p>
    <w:p>
      <w:pPr>
        <w:pStyle w:val="Normal"/>
        <w:tabs>
          <w:tab w:val="left" w:pos="720" w:leader="none"/>
        </w:tabs>
        <w:ind w:start="360" w:end="0"/>
        <w:rPr>
          <w:sz w:val="20"/>
        </w:rPr>
      </w:pPr>
      <w:r>
        <w:rPr>
          <w:sz w:val="20"/>
        </w:rPr>
        <w:t>Retirement of a large customer (e.g. 100 MW steel mill) during a year will result in that customer’s load being spread over other customers as their loads are prorated up to meet the zone load target.</w:t>
      </w:r>
    </w:p>
    <w:p>
      <w:pPr>
        <w:pStyle w:val="Normal"/>
        <w:rPr>
          <w:sz w:val="20"/>
        </w:rPr>
      </w:pPr>
      <w:r>
        <w:rPr>
          <w:sz w:val="20"/>
        </w:rPr>
      </w:r>
    </w:p>
    <w:p>
      <w:pPr>
        <w:pStyle w:val="Normal"/>
        <w:rPr>
          <w:sz w:val="20"/>
        </w:rPr>
      </w:pPr>
      <w:r>
        <w:rPr>
          <w:sz w:val="20"/>
        </w:rPr>
        <w:t>Proposed Solution:</w:t>
      </w:r>
    </w:p>
    <w:p>
      <w:pPr>
        <w:pStyle w:val="Normal"/>
        <w:rPr>
          <w:sz w:val="20"/>
        </w:rPr>
      </w:pPr>
      <w:r>
        <w:rPr>
          <w:sz w:val="20"/>
        </w:rPr>
      </w:r>
    </w:p>
    <w:p>
      <w:pPr>
        <w:pStyle w:val="Normal"/>
        <w:rPr>
          <w:sz w:val="20"/>
          <w:u w:val="single"/>
        </w:rPr>
      </w:pPr>
      <w:r>
        <w:rPr>
          <w:sz w:val="20"/>
          <w:u w:val="single"/>
        </w:rPr>
        <w:t>Large Customer Adjustment</w:t>
      </w:r>
    </w:p>
    <w:p>
      <w:pPr>
        <w:pStyle w:val="Normal"/>
        <w:rPr>
          <w:sz w:val="20"/>
        </w:rPr>
      </w:pPr>
      <w:r>
        <w:rPr>
          <w:sz w:val="20"/>
        </w:rPr>
        <w:t>If a large customer (e.g. 1% of zone load, LAS to set granularity) is retired during a planning year, then adjust the zone forecast load target down by the amount of that customer’s load ticket.  The size of the customers treated by this method should be large enough that this is not a frequently used feature.</w:t>
      </w:r>
    </w:p>
    <w:p>
      <w:pPr>
        <w:pStyle w:val="Normal"/>
        <w:rPr>
          <w:sz w:val="20"/>
        </w:rPr>
      </w:pPr>
      <w:r>
        <w:rPr>
          <w:sz w:val="20"/>
        </w:rPr>
        <w:t>12/12/01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720" w:hanging="360"/>
      </w:pPr>
    </w:lvl>
  </w:abstractNum>
  <w:num w:numId="1">
    <w:abstractNumId w:val="1"/>
  </w:num>
  <w:num w:numId="2">
    <w:abstractNumId w:val="2"/>
  </w:num>
</w:numbering>
</file>

<file path=word/settings.xml><?xml version="1.0" encoding="utf-8"?>
<w:settings xmlns:w="http://schemas.openxmlformats.org/wordprocessingml/2006/main">
  <w:zoom w:val="tex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DefaultParagraphFont">
    <w:name w:val="Default Paragraph Font"/>
    <w:qFormat/>
    <w:rPr/>
  </w:style>
  <w:style w:type="paragraph" w:styleId="Heading">
    <w:name w:val="Heading"/>
    <w:basedOn w:val="Normal"/>
    <w:next w:val="BodyText"/>
    <w:qFormat/>
    <w:pPr>
      <w:jc w:val="center"/>
    </w:pPr>
    <w:rPr>
      <w:b/>
      <w:sz w:val="2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2001-12-13T11:25:00Z</dcterms:created>
  <dc:creator>PECO</dc:creator>
  <dc:description/>
  <dc:language>en-CA</dc:language>
  <cp:lastModifiedBy>laked</cp:lastModifiedBy>
  <cp:lastPrinted>2001-12-12T17:26:00Z</cp:lastPrinted>
  <dcterms:modified xsi:type="dcterms:W3CDTF">2001-12-13T11:25:00Z</dcterms:modified>
  <cp:revision>2</cp:revision>
  <dc:subject/>
  <dc:title>OBJECTIVES</dc:title>
</cp:coreProperties>
</file>