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Ann Ballard</w:t>
            </w:r>
          </w:p>
          <w:p>
            <w:pPr>
              <w:pStyle w:val="To"/>
              <w:rPr/>
            </w:pPr>
            <w:r>
              <w:rPr/>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rPr/>
            </w:pPr>
            <w:r>
              <w:rPr/>
              <w:t xml:space="preserve">Don Miller </w:t>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rPr/>
            </w:pPr>
            <w:r>
              <w:rPr/>
              <w:t>Stuart Zisman</w:t>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Sager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Summary of Agreement between Enron's EWGs (1999 Peakers) and EPMI</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Body"/>
        <w:ind w:start="720" w:end="720"/>
        <w:jc w:val="both"/>
        <w:rPr/>
      </w:pPr>
      <w:r>
        <w:rPr>
          <w:sz w:val="24"/>
          <w:u w:val="single"/>
        </w:rPr>
        <w:tab/>
        <w:t>[EWG]</w:t>
        <w:tab/>
        <w:tab/>
      </w:r>
      <w:r>
        <w:rPr>
          <w:sz w:val="24"/>
        </w:rPr>
        <w:t xml:space="preserve"> ("EWG")</w:t>
      </w:r>
      <w:r>
        <w:rPr>
          <w:rStyle w:val="FootnoteCharacters"/>
          <w:rStyle w:val="FootnoteReference"/>
          <w:sz w:val="24"/>
        </w:rPr>
        <w:footnoteReference w:id="2"/>
      </w:r>
      <w:r>
        <w:rPr>
          <w:sz w:val="24"/>
        </w:rPr>
        <w:t xml:space="preserve"> has an agreement with Enron Power Marketing, Inc. ("EPMI") whereby for a monthly fee ("Monthly Payment"), EPMI has the exclusive right to all of the benefits of the facility owned by the EWG ("facility"), including the right to toll gas at the Facility and receive all of the electrical output of such Facility owned by such EWG.  Total amounts paid by EPMI to the EWG for the year 1999 were $________ [Note – Amounts to come] ("1999 Revenues").  The Monthly Payments were the only payments received by the EWG in 1999.</w:t>
      </w:r>
    </w:p>
    <w:p>
      <w:pPr>
        <w:pStyle w:val="Body"/>
        <w:ind w:start="720" w:end="720"/>
        <w:jc w:val="both"/>
        <w:rPr>
          <w:sz w:val="24"/>
          <w:u w:val="single"/>
        </w:rPr>
      </w:pPr>
      <w:r>
        <w:rPr>
          <w:sz w:val="24"/>
          <w:u w:val="single"/>
        </w:rPr>
      </w:r>
    </w:p>
    <w:p>
      <w:pPr>
        <w:pStyle w:val="Body"/>
        <w:ind w:start="720" w:end="720"/>
        <w:jc w:val="both"/>
        <w:rPr>
          <w:sz w:val="24"/>
          <w:u w:val="single"/>
        </w:rPr>
      </w:pPr>
      <w:r>
        <w:rPr>
          <w:sz w:val="24"/>
          <w:u w:val="single"/>
        </w:rPr>
      </w:r>
    </w:p>
    <w:p>
      <w:pPr>
        <w:pStyle w:val="Department"/>
        <w:rPr>
          <w:sz w:val="24"/>
        </w:rPr>
      </w:pPr>
      <w:r>
        <w:rPr>
          <w:sz w:val="24"/>
        </w:rPr>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/mnt/main-storage/datasets/enron-docs/doc/Peakers_1.doc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/mnt/main-storage/datasets/enron-docs/doc/Peakers_1.doc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540"/>
          <w:tab w:val="left" w:pos="270" w:leader="none"/>
        </w:tabs>
        <w:rPr/>
      </w:pPr>
      <w:r>
        <w:rPr>
          <w:rStyle w:val="FootnoteCharacters"/>
        </w:rPr>
        <w:footnoteRef/>
      </w:r>
      <w:r>
        <w:rPr/>
        <w:tab/>
        <w:t>Brownsville Power I, LLC</w:t>
      </w:r>
    </w:p>
    <w:p>
      <w:pPr>
        <w:pStyle w:val="FootnoteText"/>
        <w:tabs>
          <w:tab w:val="clear" w:pos="540"/>
          <w:tab w:val="left" w:pos="270" w:leader="none"/>
        </w:tabs>
        <w:rPr/>
      </w:pPr>
      <w:r>
        <w:rPr/>
        <w:tab/>
        <w:t>Caledonia Power I, LLC</w:t>
      </w:r>
    </w:p>
    <w:p>
      <w:pPr>
        <w:pStyle w:val="FootnoteText"/>
        <w:tabs>
          <w:tab w:val="clear" w:pos="540"/>
          <w:tab w:val="left" w:pos="270" w:leader="none"/>
        </w:tabs>
        <w:rPr/>
      </w:pPr>
      <w:r>
        <w:rPr/>
        <w:tab/>
        <w:t>New Albany Power I, LLC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2000-02-17T17:46:00Z</dcterms:created>
  <dc:creator>Jeff Ford</dc:creator>
  <dc:description/>
  <dc:language>en-CA</dc:language>
  <cp:lastModifiedBy>esager</cp:lastModifiedBy>
  <cp:lastPrinted>2000-02-17T16:48:00Z</cp:lastPrinted>
  <dcterms:modified xsi:type="dcterms:W3CDTF">2000-12-19T14:15:00Z</dcterms:modified>
  <cp:revision>5</cp:revision>
  <dc:subject>Analysis of ECT's Financial, Power and Gas Forms</dc:subject>
  <dc:title>Eron Capital &amp; Trade Resources Memo</dc:title>
</cp:coreProperties>
</file>