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547" w:start="547" w:end="0"/>
        <w:jc w:val="center"/>
        <w:rPr>
          <w:b/>
          <w:bCs/>
          <w:sz w:val="28"/>
          <w:szCs w:val="28"/>
        </w:rPr>
      </w:pPr>
      <w:r>
        <w:rPr>
          <w:b/>
          <w:bCs/>
          <w:sz w:val="28"/>
          <w:szCs w:val="28"/>
        </w:rPr>
        <w:t>Work Plan to Address Affected Soil at the</w:t>
      </w:r>
    </w:p>
    <w:p>
      <w:pPr>
        <w:pStyle w:val="Normal"/>
        <w:spacing w:before="0" w:after="0"/>
        <w:jc w:val="center"/>
        <w:rPr>
          <w:b/>
          <w:bCs/>
          <w:sz w:val="28"/>
          <w:szCs w:val="28"/>
        </w:rPr>
      </w:pPr>
      <w:r>
        <w:rPr>
          <w:b/>
          <w:bCs/>
          <w:sz w:val="28"/>
          <w:szCs w:val="28"/>
        </w:rPr>
        <w:t>Pecos County No. 6 Compressor Station</w:t>
      </w:r>
    </w:p>
    <w:p>
      <w:pPr>
        <w:pStyle w:val="Normal"/>
        <w:spacing w:before="0" w:after="0"/>
        <w:jc w:val="center"/>
        <w:rPr>
          <w:b/>
          <w:bCs/>
          <w:sz w:val="28"/>
          <w:szCs w:val="28"/>
        </w:rPr>
      </w:pPr>
      <w:r>
        <w:rPr>
          <w:b/>
          <w:bCs/>
          <w:sz w:val="28"/>
          <w:szCs w:val="28"/>
        </w:rPr>
        <w:t>&amp; Imperial Line Filters and Pig Receiver</w:t>
      </w:r>
    </w:p>
    <w:p>
      <w:pPr>
        <w:pStyle w:val="Normal"/>
        <w:spacing w:before="0" w:after="0"/>
        <w:jc w:val="center"/>
        <w:rPr>
          <w:b/>
          <w:bCs/>
        </w:rPr>
      </w:pPr>
      <w:r>
        <w:rPr>
          <w:b/>
          <w:bCs/>
        </w:rPr>
        <w:t>Pecos County, Texas</w:t>
      </w:r>
    </w:p>
    <w:p>
      <w:pPr>
        <w:pStyle w:val="Heading1"/>
        <w:ind w:hanging="0" w:start="0"/>
        <w:rPr/>
      </w:pPr>
      <w:r>
        <w:rPr/>
        <w:t>I.</w:t>
        <w:tab/>
        <w:t>Background Information</w:t>
      </w:r>
    </w:p>
    <w:p>
      <w:pPr>
        <w:pStyle w:val="Heading2"/>
        <w:ind w:hanging="0" w:start="0"/>
        <w:rPr/>
      </w:pPr>
      <w:r>
        <w:rPr/>
        <w:t>Facility Description</w:t>
      </w:r>
    </w:p>
    <w:p>
      <w:pPr>
        <w:pStyle w:val="Normal"/>
        <w:rPr/>
      </w:pPr>
      <w:r>
        <w:rPr/>
        <w:t>The Pecos County No. 6 compressor station is owned and operated by Northern Natural Gas Company (NNG). The facility was constructed on one acre of property which is leased by NNG from private landowners. The site is located about 10 miles southwest of McCamey, Texas. The compressor was removed from this location about two years ago and there are no other active operations within the station yard with the exception of a corrosion protection (CP) well. The CP well provides corrosion protection for a 20” natural gas pipeline which runs near the facility.</w:t>
      </w:r>
    </w:p>
    <w:p>
      <w:pPr>
        <w:pStyle w:val="Normal"/>
        <w:rPr/>
      </w:pPr>
      <w:r>
        <w:rPr/>
        <w:t>The Imperial Line filters and pig receiver is located about 150 feet north of the compressor station. This natural gas pipeline is still in service.</w:t>
      </w:r>
    </w:p>
    <w:p>
      <w:pPr>
        <w:pStyle w:val="Heading2"/>
        <w:ind w:hanging="0" w:start="0"/>
        <w:rPr/>
      </w:pPr>
      <w:r>
        <w:rPr/>
        <w:t>Prior Assessment Activities</w:t>
      </w:r>
    </w:p>
    <w:p>
      <w:pPr>
        <w:pStyle w:val="Normal"/>
        <w:rPr/>
      </w:pPr>
      <w:r>
        <w:rPr/>
        <w:t>In October, 1997, PG&amp;E-Tex, L.P. (PG&amp;E) initiated due diligence assessment activities in advance of a potential purchase of the subject facility. PG&amp;E directed their environmental consultant, ERM-Southwest, to complete field assessment activities at the site. On December 16, 1997, PG&amp;E collected soil samples from one area of concern located within the station yard and from the two facilities associated with the pipeline. A site diagram is attached, Figure 1.</w:t>
      </w:r>
    </w:p>
    <w:p>
      <w:pPr>
        <w:pStyle w:val="Normal"/>
        <w:rPr/>
      </w:pPr>
      <w:r>
        <w:rPr/>
        <w:t>NNG obtained split soil samples in the course of the PG&amp;E assessment. In addition, NNG directed their environmental consultant, Cypress Engineering (CES), to complete an additional assessment activity. On February 2, 1998, NNG collected additional soil samples from the areas around the pipeline facilities and from areas of concern within the station yard.</w:t>
      </w:r>
    </w:p>
    <w:p>
      <w:pPr>
        <w:pStyle w:val="Normal"/>
        <w:rPr/>
      </w:pPr>
      <w:r>
        <w:rPr/>
        <w:t>The areas of concern identified by assessment activities include: the area immediately beneath the drain for the two gas filters, an area of stained soil near the pig receiver, an out-of-service condensate AST located within the station yard, an area around the gas scrubber located within the station yard, and the area around the compressor foundation. A summary table of analytical results for samples collected from areas of concern is attached, Table 1.</w:t>
      </w:r>
    </w:p>
    <w:p>
      <w:pPr>
        <w:pStyle w:val="Heading2"/>
        <w:ind w:hanging="0" w:start="0"/>
        <w:rPr/>
      </w:pPr>
      <w:r>
        <w:rPr/>
        <w:t>Objective</w:t>
      </w:r>
    </w:p>
    <w:p>
      <w:pPr>
        <w:pStyle w:val="Normal"/>
        <w:rPr/>
      </w:pPr>
      <w:r>
        <w:rPr/>
        <w:t xml:space="preserve">The objective of this document is to present a work plan to address each of the identified areas of concern. This work plan will be implemented by NNG in consultation with PG&amp;E and upon approval by the Texas Railroad Commission. </w:t>
      </w:r>
    </w:p>
    <w:p>
      <w:pPr>
        <w:pStyle w:val="Heading1"/>
        <w:ind w:hanging="0" w:start="0"/>
        <w:rPr/>
      </w:pPr>
      <w:r>
        <w:rPr/>
        <w:t>II.</w:t>
        <w:tab/>
        <w:t>Scope of Work for Areas of Concern</w:t>
      </w:r>
    </w:p>
    <w:p>
      <w:pPr>
        <w:pStyle w:val="Heading2"/>
        <w:ind w:hanging="0" w:start="0"/>
        <w:rPr/>
      </w:pPr>
      <w:r>
        <w:rPr/>
        <w:t>Imperial Line Filter Area</w:t>
      </w:r>
    </w:p>
    <w:p>
      <w:pPr>
        <w:pStyle w:val="Normal"/>
        <w:rPr/>
      </w:pPr>
      <w:r>
        <w:rPr/>
        <w:t xml:space="preserve">Soil located immediately beneath the drain valve for each of the two gas filters is stained with condensate. Analytical results indicate that these soils contain elevated concentrations of total petroleum hydrocarbons (TPH). In addition, these soils contain concentrations of metal constituents (As and Pb) elevated slightly above background concentrations (see Table 1). The elevated concentration of arsenic may be a result of the use of herbicides at the facility. The origin of the elevated concentration of lead is unknown. Waste characterization indicates these soils can be classified as exempt oil and gas field waste. </w:t>
      </w:r>
    </w:p>
    <w:p>
      <w:pPr>
        <w:pStyle w:val="Normal"/>
        <w:rPr/>
      </w:pPr>
      <w:r>
        <w:rPr/>
        <w:t>NNG proposes to remove affected soil from this area to the extent practicable. The estimated volume of soil to be removed is four cubic yards. The soil will be loaded into trucks and transported to the WesTex landfarm facility in Notrees, Texas (a TRC permitted facility). A single composite soil sample will be collected from the bottom of the excavation area. This sample will be submitted to a laboratory for analysis for TPH (by method 418.1) and the metal constituents arsenic and lead. No further action will be required so long as results indicate a TPH concentration below 10,000 mg/kg and total metal constituent concentrations below the respective upper limit background concentration listed in Table 1.</w:t>
      </w:r>
    </w:p>
    <w:p>
      <w:pPr>
        <w:pStyle w:val="Heading2"/>
        <w:ind w:hanging="0" w:start="0"/>
        <w:rPr/>
      </w:pPr>
      <w:r>
        <w:rPr/>
        <w:t>Pig Receiver Area</w:t>
      </w:r>
    </w:p>
    <w:p>
      <w:pPr>
        <w:pStyle w:val="Normal"/>
        <w:rPr/>
      </w:pPr>
      <w:r>
        <w:rPr/>
        <w:t>Soil in the immediate vicinity of the pig receiver appears to be stained by a release of condensate liquid from the receiver which would have occurred during pigging operations. The relatively low concentration of TPH measured in the soil sample indicates the liquid must have been predominantly water. The stained soil covers an area of about 20 ft by 15 ft. Analytical results indicate a concentration of arsenic elevated slightly above background concentrations (see Table 1). The elevated concentration of arsenic may be a result of the use of herbicides at the facility. Waste characterization indicates these soils can be classified as exempt oil and gas field waste.</w:t>
      </w:r>
    </w:p>
    <w:p>
      <w:pPr>
        <w:pStyle w:val="Normal"/>
        <w:rPr/>
      </w:pPr>
      <w:r>
        <w:rPr/>
        <w:t>NNG proposes to remove soil within the stained area to a depth of six inches below ground surface. The estimated volume of soil to be removed is six cubic yards. The soil will be loaded into trucks and transported to the WesTex landfarm facility in Notrees, Texas (a TRC permitted facility). A single composite soil sample will be collected from the bottom of the excavation area. This sample will be submitted to a laboratory for analysis for TPH (by method 418.1) and arsenic. No further action will be required so long as results indicate a TPH concentration below 10,000 mg/kg and a total arsenic concentration below the respective upper limit background concentration listed in Table 1.</w:t>
      </w:r>
    </w:p>
    <w:p>
      <w:pPr>
        <w:pStyle w:val="Heading2"/>
        <w:ind w:hanging="0" w:start="0"/>
        <w:rPr/>
      </w:pPr>
      <w:r>
        <w:rPr/>
        <w:t>Former Compressor Area</w:t>
      </w:r>
    </w:p>
    <w:p>
      <w:pPr>
        <w:pStyle w:val="Normal"/>
        <w:rPr/>
      </w:pPr>
      <w:r>
        <w:rPr/>
        <w:t>Soil around the perimeter of the former compressor foundation and around the compressor inlet scrubbers/filters is stained with oil and condensate. NNG will remove the concrete foundation and the inlet scrubbers/filters for offsite disposal at NNG’s Plymouth Station located in Reagan County. NNG proposes to remove affected soil from this area to the extent practicable. The estimated volume of soil to be removed is 25 cubic yards. Waste characterization indicates these soils can be classified as non-exempt non-hazardous oil and gas field waste. The soil will be loaded into trucks and transported to the WesTex landfarm facility in Notrees, Texas (a TRC permitted facility). A single composite soil sample will be collected from each area where soil was removed and submitted to a laboratory for analysis for TPH (by method 418.1). No further action will be required so long as results indicate a TPH concentration below 10,000 mg/kg.</w:t>
      </w:r>
    </w:p>
    <w:p>
      <w:pPr>
        <w:pStyle w:val="Heading2"/>
        <w:ind w:hanging="0" w:start="0"/>
        <w:rPr/>
      </w:pPr>
      <w:r>
        <w:rPr/>
        <w:t>Condensate AST</w:t>
      </w:r>
    </w:p>
    <w:p>
      <w:pPr>
        <w:pStyle w:val="Normal"/>
        <w:rPr/>
      </w:pPr>
      <w:r>
        <w:rPr/>
        <w:t xml:space="preserve">A 25 bbl fiberglass condensate AST is located within an earthen berm area within the station yard. The AST contains approximately six bbl of sludge in the bottom of the tank, six bbl of water, and a thin surface layer (less than one inch) of a weathered condensate and water emulsion. Waste characterization indicates the contents can be classified as exempt oil and gas field waste. </w:t>
      </w:r>
    </w:p>
    <w:p>
      <w:pPr>
        <w:pStyle w:val="Normal"/>
        <w:rPr/>
      </w:pPr>
      <w:r>
        <w:rPr/>
        <w:t>NNG proposes to have the contents of the tank removed and disposed of by a TRC permitted contractor. The AST will be removed to a municipal landfill. Any stained soil will be removed from the area around the tank. The soil will be loaded into trucks and transported to the WesTex landfarm facility in Notrees, Texas (a TRC permitted facility). A single composite soil sample will be collected from the area where soil was removed and submitted to a laboratory for analysis for TPH (by method 418.1). No further action will be required so long as results indicate a TPH concentration below 10,000 mg/kg.</w:t>
      </w:r>
    </w:p>
    <w:p>
      <w:pPr>
        <w:pStyle w:val="Heading1"/>
        <w:ind w:hanging="0" w:start="0"/>
        <w:rPr/>
      </w:pPr>
      <w:r>
        <w:rPr/>
        <w:t>III.</w:t>
        <w:tab/>
        <w:t>Cost Estimate</w:t>
      </w:r>
    </w:p>
    <w:p>
      <w:pPr>
        <w:pStyle w:val="Normal"/>
        <w:spacing w:before="0" w:after="0"/>
        <w:rPr/>
      </w:pPr>
      <w:r>
        <w:rPr/>
      </w:r>
    </w:p>
    <w:tbl>
      <w:tblPr>
        <w:tblW w:w="9360" w:type="dxa"/>
        <w:jc w:val="center"/>
        <w:tblInd w:w="0" w:type="dxa"/>
        <w:tblLayout w:type="fixed"/>
        <w:tblCellMar>
          <w:top w:w="0" w:type="dxa"/>
          <w:start w:w="108" w:type="dxa"/>
          <w:bottom w:w="0" w:type="dxa"/>
          <w:end w:w="108" w:type="dxa"/>
        </w:tblCellMar>
      </w:tblPr>
      <w:tblGrid>
        <w:gridCol w:w="6480"/>
        <w:gridCol w:w="2880"/>
      </w:tblGrid>
      <w:tr>
        <w:trPr/>
        <w:tc>
          <w:tcPr>
            <w:tcW w:w="6480" w:type="dxa"/>
            <w:tcBorders>
              <w:top w:val="single" w:sz="12" w:space="0" w:color="000000"/>
              <w:start w:val="single" w:sz="12" w:space="0" w:color="000000"/>
              <w:bottom w:val="single" w:sz="6" w:space="0" w:color="000000"/>
              <w:end w:val="single" w:sz="6" w:space="0" w:color="000000"/>
            </w:tcBorders>
          </w:tcPr>
          <w:p>
            <w:pPr>
              <w:pStyle w:val="Normal"/>
              <w:spacing w:before="20" w:after="20"/>
              <w:rPr>
                <w:b/>
                <w:bCs/>
              </w:rPr>
            </w:pPr>
            <w:r>
              <w:rPr>
                <w:b/>
                <w:bCs/>
              </w:rPr>
              <w:t>Costs associated with pending sale assets:</w:t>
            </w:r>
          </w:p>
        </w:tc>
        <w:tc>
          <w:tcPr>
            <w:tcW w:w="2880" w:type="dxa"/>
            <w:tcBorders>
              <w:top w:val="single" w:sz="12" w:space="0" w:color="000000"/>
              <w:start w:val="single" w:sz="6" w:space="0" w:color="000000"/>
              <w:bottom w:val="single" w:sz="6" w:space="0" w:color="000000"/>
              <w:end w:val="single" w:sz="12" w:space="0" w:color="000000"/>
            </w:tcBorders>
          </w:tcPr>
          <w:p>
            <w:pPr>
              <w:pStyle w:val="Normal"/>
              <w:tabs>
                <w:tab w:val="clear" w:pos="720"/>
                <w:tab w:val="decimal" w:pos="1782" w:leader="none"/>
              </w:tabs>
              <w:snapToGrid w:val="false"/>
              <w:spacing w:before="20" w:after="20"/>
              <w:rPr>
                <w:b/>
                <w:bCs/>
              </w:rPr>
            </w:pPr>
            <w:r>
              <w:rPr>
                <w:b/>
                <w:bCs/>
              </w:rPr>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pPr>
            <w:r>
              <w:rPr/>
              <w:t>Imperial Line filter area</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pPr>
            <w:r>
              <w:rPr/>
              <w:t>3,000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pPr>
            <w:r>
              <w:rPr/>
              <w:t>Pig receiver area</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pPr>
            <w:r>
              <w:rPr/>
              <w:t>2,000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b/>
                <w:bCs/>
              </w:rPr>
            </w:pPr>
            <w:r>
              <w:rPr>
                <w:b/>
                <w:bCs/>
              </w:rPr>
              <w:tab/>
              <w:t>Sub-Total</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b/>
                <w:bCs/>
              </w:rPr>
            </w:pPr>
            <w:r>
              <w:rPr>
                <w:b/>
                <w:bCs/>
              </w:rPr>
              <w:t>5,000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napToGrid w:val="false"/>
              <w:spacing w:before="20" w:after="20"/>
              <w:rPr>
                <w:b/>
                <w:bCs/>
              </w:rPr>
            </w:pPr>
            <w:r>
              <w:rPr>
                <w:b/>
                <w:bCs/>
              </w:rPr>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napToGrid w:val="false"/>
              <w:spacing w:before="20" w:after="20"/>
              <w:rPr>
                <w:b/>
                <w:bCs/>
              </w:rPr>
            </w:pPr>
            <w:r>
              <w:rPr>
                <w:b/>
                <w:bCs/>
              </w:rPr>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b/>
                <w:bCs/>
              </w:rPr>
            </w:pPr>
            <w:r>
              <w:rPr>
                <w:b/>
                <w:bCs/>
              </w:rPr>
              <w:t>Costs associated with non-sale assets:</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napToGrid w:val="false"/>
              <w:spacing w:before="20" w:after="20"/>
              <w:rPr>
                <w:b/>
                <w:bCs/>
              </w:rPr>
            </w:pPr>
            <w:r>
              <w:rPr>
                <w:b/>
                <w:bCs/>
              </w:rPr>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pPr>
            <w:r>
              <w:rPr/>
              <w:t>Former compressor area</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pPr>
            <w:r>
              <w:rPr/>
              <w:t>7,000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pPr>
            <w:r>
              <w:rPr/>
              <w:t>Condensate AST</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pPr>
            <w:r>
              <w:rPr/>
              <w:t>2,000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pacing w:before="20" w:after="20"/>
              <w:rPr>
                <w:b/>
                <w:bCs/>
              </w:rPr>
            </w:pPr>
            <w:r>
              <w:rPr>
                <w:b/>
                <w:bCs/>
              </w:rPr>
              <w:tab/>
              <w:t>Sub-Total</w:t>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pacing w:before="20" w:after="20"/>
              <w:rPr>
                <w:b/>
                <w:bCs/>
              </w:rPr>
            </w:pPr>
            <w:r>
              <w:rPr>
                <w:b/>
                <w:bCs/>
              </w:rPr>
              <w:t>9,000</w:t>
            </w:r>
          </w:p>
        </w:tc>
      </w:tr>
      <w:tr>
        <w:trPr/>
        <w:tc>
          <w:tcPr>
            <w:tcW w:w="6480" w:type="dxa"/>
            <w:tcBorders>
              <w:top w:val="single" w:sz="6" w:space="0" w:color="000000"/>
              <w:start w:val="single" w:sz="12" w:space="0" w:color="000000"/>
              <w:bottom w:val="single" w:sz="6" w:space="0" w:color="000000"/>
              <w:end w:val="single" w:sz="6" w:space="0" w:color="000000"/>
            </w:tcBorders>
          </w:tcPr>
          <w:p>
            <w:pPr>
              <w:pStyle w:val="Normal"/>
              <w:snapToGrid w:val="false"/>
              <w:spacing w:before="20" w:after="20"/>
              <w:rPr>
                <w:b/>
                <w:bCs/>
                <w:sz w:val="28"/>
                <w:szCs w:val="28"/>
              </w:rPr>
            </w:pPr>
            <w:r>
              <w:rPr>
                <w:b/>
                <w:bCs/>
                <w:sz w:val="28"/>
                <w:szCs w:val="28"/>
              </w:rPr>
            </w:r>
          </w:p>
        </w:tc>
        <w:tc>
          <w:tcPr>
            <w:tcW w:w="288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782" w:leader="none"/>
              </w:tabs>
              <w:snapToGrid w:val="false"/>
              <w:spacing w:before="20" w:after="20"/>
              <w:rPr>
                <w:b/>
                <w:bCs/>
                <w:sz w:val="28"/>
                <w:szCs w:val="28"/>
              </w:rPr>
            </w:pPr>
            <w:r>
              <w:rPr>
                <w:b/>
                <w:bCs/>
                <w:sz w:val="28"/>
                <w:szCs w:val="28"/>
              </w:rPr>
            </w:r>
          </w:p>
        </w:tc>
      </w:tr>
      <w:tr>
        <w:trPr/>
        <w:tc>
          <w:tcPr>
            <w:tcW w:w="6480" w:type="dxa"/>
            <w:tcBorders>
              <w:top w:val="single" w:sz="6" w:space="0" w:color="000000"/>
              <w:start w:val="single" w:sz="12" w:space="0" w:color="000000"/>
              <w:bottom w:val="single" w:sz="12" w:space="0" w:color="000000"/>
              <w:end w:val="single" w:sz="6" w:space="0" w:color="000000"/>
            </w:tcBorders>
          </w:tcPr>
          <w:p>
            <w:pPr>
              <w:pStyle w:val="Normal"/>
              <w:spacing w:before="20" w:after="20"/>
              <w:rPr>
                <w:b/>
                <w:bCs/>
                <w:sz w:val="28"/>
                <w:szCs w:val="28"/>
              </w:rPr>
            </w:pPr>
            <w:r>
              <w:rPr>
                <w:b/>
                <w:bCs/>
                <w:sz w:val="28"/>
                <w:szCs w:val="28"/>
              </w:rPr>
              <w:t>Total</w:t>
            </w:r>
          </w:p>
        </w:tc>
        <w:tc>
          <w:tcPr>
            <w:tcW w:w="2880" w:type="dxa"/>
            <w:tcBorders>
              <w:top w:val="single" w:sz="6" w:space="0" w:color="000000"/>
              <w:start w:val="single" w:sz="6" w:space="0" w:color="000000"/>
              <w:bottom w:val="single" w:sz="12" w:space="0" w:color="000000"/>
              <w:end w:val="single" w:sz="12" w:space="0" w:color="000000"/>
            </w:tcBorders>
          </w:tcPr>
          <w:p>
            <w:pPr>
              <w:pStyle w:val="Normal"/>
              <w:tabs>
                <w:tab w:val="clear" w:pos="720"/>
                <w:tab w:val="decimal" w:pos="1782" w:leader="none"/>
              </w:tabs>
              <w:spacing w:before="20" w:after="20"/>
              <w:rPr>
                <w:b/>
                <w:bCs/>
                <w:sz w:val="28"/>
                <w:szCs w:val="28"/>
              </w:rPr>
            </w:pPr>
            <w:r>
              <w:rPr>
                <w:b/>
                <w:bCs/>
                <w:sz w:val="28"/>
                <w:szCs w:val="28"/>
              </w:rPr>
              <w:t>$14,000</w:t>
            </w:r>
          </w:p>
        </w:tc>
      </w:tr>
    </w:tbl>
    <w:p>
      <w:pPr>
        <w:pStyle w:val="Normal"/>
        <w:spacing w:before="0" w:after="0"/>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9360" w:leader="none"/>
      </w:tabs>
      <w:spacing w:before="0" w:after="0"/>
      <w:rPr/>
    </w:pPr>
    <w:r>
      <w:rPr/>
      <w:t>Work Plan to Address Affected Soil</w:t>
      <w:tab/>
      <w:t>April 13, 1998</w:t>
    </w:r>
  </w:p>
  <w:p>
    <w:pPr>
      <w:pStyle w:val="Footer"/>
      <w:tabs>
        <w:tab w:val="clear" w:pos="4320"/>
        <w:tab w:val="clear" w:pos="8640"/>
        <w:tab w:val="right" w:pos="9360" w:leader="none"/>
      </w:tabs>
      <w:spacing w:before="0" w:after="0"/>
      <w:rPr/>
    </w:pPr>
    <w:r>
      <w:rPr/>
      <w:t>NNG Pecos County No. 6 Compressor Station &amp; Imperial Line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9360" w:leader="none"/>
      </w:tabs>
      <w:spacing w:before="0" w:after="0"/>
      <w:rPr/>
    </w:pPr>
    <w:r>
      <w:rPr/>
      <w:t>Work Plan to Address Affected Soil</w:t>
      <w:tab/>
      <w:t>April 13, 1998</w:t>
    </w:r>
  </w:p>
  <w:p>
    <w:pPr>
      <w:pStyle w:val="Footer"/>
      <w:tabs>
        <w:tab w:val="clear" w:pos="4320"/>
        <w:tab w:val="clear" w:pos="8640"/>
        <w:tab w:val="right" w:pos="9360" w:leader="none"/>
      </w:tabs>
      <w:spacing w:before="0" w:after="0"/>
      <w:rPr/>
    </w:pPr>
    <w:r>
      <w:rPr/>
      <w:t>NNG Pecos County No. 6 Compressor Station &amp; Imperial Line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spacing w:before="300" w:after="0"/>
      <w:outlineLvl w:val="0"/>
    </w:pPr>
    <w:rPr>
      <w:b/>
      <w:bCs/>
      <w:kern w:val="2"/>
    </w:rPr>
  </w:style>
  <w:style w:type="paragraph" w:styleId="Heading2">
    <w:name w:val="heading 2"/>
    <w:basedOn w:val="Normal"/>
    <w:next w:val="Normal"/>
    <w:qFormat/>
    <w:pPr>
      <w:keepNext w:val="true"/>
      <w:numPr>
        <w:ilvl w:val="1"/>
        <w:numId w:val="1"/>
      </w:numPr>
      <w:spacing w:before="240" w:after="0"/>
      <w:outlineLvl w:val="1"/>
    </w:pPr>
    <w:rPr>
      <w:b/>
      <w:bCs/>
      <w:u w:val="single"/>
    </w:rPr>
  </w:style>
  <w:style w:type="paragraph" w:styleId="Heading3">
    <w:name w:val="heading 3"/>
    <w:basedOn w:val="Normal"/>
    <w:next w:val="Normal"/>
    <w:qFormat/>
    <w:pPr>
      <w:keepNext w:val="true"/>
      <w:numPr>
        <w:ilvl w:val="2"/>
        <w:numId w:val="1"/>
      </w:numPr>
      <w:outlineLvl w:val="2"/>
    </w:pPr>
    <w:rPr>
      <w:b/>
      <w:bCs/>
      <w:i/>
      <w:i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H:\WINWORD\TEMPLATE\NORMAL.DOT</Template>
  <TotalTime>1053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1996-07-30T20:45:00Z</dcterms:created>
  <dc:creator>Sandra Lee Sharp</dc:creator>
  <dc:description/>
  <dc:language>en-CA</dc:language>
  <cp:lastModifiedBy>OTS</cp:lastModifiedBy>
  <cp:lastPrinted>1998-03-12T11:19:00Z</cp:lastPrinted>
  <dcterms:modified xsi:type="dcterms:W3CDTF">1998-04-13T17:59:00Z</dcterms:modified>
  <cp:revision>49</cp:revision>
  <dc:subject/>
  <dc:title>September 19, 1994</dc:title>
</cp:coreProperties>
</file>