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b/>
          <w:bCs/>
          <w:u w:val="single"/>
        </w:rPr>
        <w:t>Question #3:</w:t>
      </w:r>
    </w:p>
    <w:p>
      <w:pPr>
        <w:pStyle w:val="Normal"/>
        <w:rPr>
          <w:u w:val="single"/>
        </w:rPr>
      </w:pPr>
      <w:r>
        <w:rPr>
          <w:u w:val="single"/>
        </w:rPr>
      </w:r>
    </w:p>
    <w:p>
      <w:pPr>
        <w:pStyle w:val="BodyText"/>
        <w:rPr>
          <w:i w:val="false"/>
          <w:i w:val="false"/>
          <w:iCs w:val="false"/>
        </w:rPr>
      </w:pPr>
      <w:r>
        <w:rPr/>
        <w:t>Does the cash basis reflect Patten’s performance better or worse than the company’s present accounting method? Do the accounting rules justify Patten’s current revenue recognition policy?</w:t>
      </w:r>
    </w:p>
    <w:p>
      <w:pPr>
        <w:pStyle w:val="BodyText"/>
        <w:rPr>
          <w:i w:val="false"/>
          <w:i w:val="false"/>
          <w:iCs w:val="false"/>
        </w:rPr>
      </w:pPr>
      <w:r>
        <w:rPr>
          <w:i w:val="false"/>
          <w:iCs w:val="false"/>
        </w:rPr>
      </w:r>
    </w:p>
    <w:p>
      <w:pPr>
        <w:pStyle w:val="BodyText"/>
        <w:rPr>
          <w:i w:val="false"/>
          <w:i w:val="false"/>
          <w:iCs w:val="false"/>
        </w:rPr>
      </w:pPr>
      <w:r>
        <w:rPr>
          <w:i w:val="false"/>
          <w:iCs w:val="false"/>
        </w:rPr>
        <w:tab/>
        <w:t xml:space="preserve">For the reasons stated below, the accounting rules justify Patten’s use of the current revenue recognition policy.  Performance must be judged on the basis of analysis that takes into account all of the information provided in the company’s financial report, including the balance sheet, the income statement, the statement of cash flows, and notes. </w:t>
      </w:r>
    </w:p>
    <w:p>
      <w:pPr>
        <w:pStyle w:val="BodyText"/>
        <w:rPr>
          <w:i w:val="false"/>
          <w:i w:val="false"/>
          <w:iCs w:val="false"/>
        </w:rPr>
      </w:pPr>
      <w:r>
        <w:rPr>
          <w:i w:val="false"/>
          <w:iCs w:val="false"/>
        </w:rPr>
      </w:r>
    </w:p>
    <w:p>
      <w:pPr>
        <w:pStyle w:val="BodyText"/>
        <w:ind w:firstLine="720" w:end="0"/>
        <w:rPr>
          <w:i w:val="false"/>
          <w:i w:val="false"/>
          <w:iCs w:val="false"/>
        </w:rPr>
      </w:pPr>
      <w:r>
        <w:rPr>
          <w:i w:val="false"/>
          <w:iCs w:val="false"/>
        </w:rPr>
        <w:t>According to the text, “APB Opinion 10 is very emphatic that “’unless the circumstances are such that the collection of the sale price is not reasonably assured,’ the installment method of recognizing income is not acceptable for financial reporting purposes.  The sales method must be used.”  Based on the information provided, the collection of Pattens’ sales appears to be reasonably assured.</w:t>
      </w:r>
    </w:p>
    <w:p>
      <w:pPr>
        <w:pStyle w:val="BodyText"/>
        <w:rPr>
          <w:i w:val="false"/>
          <w:i w:val="false"/>
          <w:iCs w:val="false"/>
        </w:rPr>
      </w:pPr>
      <w:r>
        <w:rPr>
          <w:i w:val="false"/>
          <w:iCs w:val="false"/>
        </w:rPr>
      </w:r>
    </w:p>
    <w:p>
      <w:pPr>
        <w:pStyle w:val="BodyText"/>
        <w:ind w:firstLine="720" w:end="0"/>
        <w:rPr>
          <w:i w:val="false"/>
          <w:i w:val="false"/>
          <w:iCs w:val="false"/>
        </w:rPr>
      </w:pPr>
      <w:r>
        <w:rPr>
          <w:i w:val="false"/>
          <w:iCs w:val="false"/>
        </w:rPr>
        <w:t>First, the company performs substantially the same type of credit review of the customer as lending institutions undertake.  Thus, Patten does not seem willing to take on more risk than other, traditionally conservative lending institutions.  There is a substantial body of data generated from the activities of these lending institutions to support the “reasonably assured” standard under the sales method.  The fact that Patten targets affluent buyers increases the likelihood of collection.</w:t>
      </w:r>
    </w:p>
    <w:p>
      <w:pPr>
        <w:pStyle w:val="BodyText"/>
        <w:ind w:firstLine="720" w:end="0"/>
        <w:rPr>
          <w:i w:val="false"/>
          <w:i w:val="false"/>
          <w:iCs w:val="false"/>
        </w:rPr>
      </w:pPr>
      <w:r>
        <w:rPr>
          <w:i w:val="false"/>
          <w:iCs w:val="false"/>
        </w:rPr>
      </w:r>
    </w:p>
    <w:p>
      <w:pPr>
        <w:pStyle w:val="BodyText"/>
        <w:ind w:firstLine="720" w:end="0"/>
        <w:rPr>
          <w:i w:val="false"/>
          <w:i w:val="false"/>
          <w:iCs w:val="false"/>
        </w:rPr>
      </w:pPr>
      <w:r>
        <w:rPr>
          <w:i w:val="false"/>
          <w:iCs w:val="false"/>
        </w:rPr>
        <w:t xml:space="preserve">In addition, it appears that Patten meets the four conditions included in FASB Statement No. 66 necessary to apply the sales method.  </w:t>
      </w:r>
    </w:p>
    <w:p>
      <w:pPr>
        <w:pStyle w:val="BodyText"/>
        <w:numPr>
          <w:ilvl w:val="2"/>
          <w:numId w:val="1"/>
        </w:numPr>
        <w:tabs>
          <w:tab w:val="clear" w:pos="720"/>
        </w:tabs>
        <w:ind w:hanging="360" w:start="720" w:end="0"/>
        <w:rPr>
          <w:i w:val="false"/>
          <w:i w:val="false"/>
          <w:iCs w:val="false"/>
        </w:rPr>
      </w:pPr>
      <w:r>
        <w:rPr>
          <w:i w:val="false"/>
          <w:iCs w:val="false"/>
        </w:rPr>
        <w:t>Patten requires the buyer to pay at least 10% of the purchase price up front.</w:t>
      </w:r>
    </w:p>
    <w:p>
      <w:pPr>
        <w:pStyle w:val="BodyText"/>
        <w:numPr>
          <w:ilvl w:val="2"/>
          <w:numId w:val="1"/>
        </w:numPr>
        <w:tabs>
          <w:tab w:val="clear" w:pos="720"/>
        </w:tabs>
        <w:ind w:hanging="360" w:start="720" w:end="0"/>
        <w:rPr>
          <w:i w:val="false"/>
          <w:i w:val="false"/>
          <w:iCs w:val="false"/>
        </w:rPr>
      </w:pPr>
      <w:r>
        <w:rPr>
          <w:i w:val="false"/>
          <w:iCs w:val="false"/>
        </w:rPr>
        <w:t>Patten generally sells the parcels “as is,” without any additional obligations to construct amenities or other facilities.</w:t>
      </w:r>
    </w:p>
    <w:p>
      <w:pPr>
        <w:pStyle w:val="BodyText"/>
        <w:numPr>
          <w:ilvl w:val="2"/>
          <w:numId w:val="1"/>
        </w:numPr>
        <w:tabs>
          <w:tab w:val="clear" w:pos="720"/>
        </w:tabs>
        <w:ind w:hanging="360" w:start="720" w:end="0"/>
        <w:rPr>
          <w:i w:val="false"/>
          <w:i w:val="false"/>
          <w:iCs w:val="false"/>
        </w:rPr>
      </w:pPr>
      <w:r>
        <w:rPr>
          <w:i w:val="false"/>
          <w:iCs w:val="false"/>
        </w:rPr>
        <w:t xml:space="preserve">As stated by Mr. Dion, Patten has not experienced any material losses on its mortgage portfolio over the preceding five years. </w:t>
      </w:r>
    </w:p>
    <w:p>
      <w:pPr>
        <w:pStyle w:val="BodyText"/>
        <w:rPr>
          <w:i w:val="false"/>
          <w:i w:val="false"/>
          <w:iCs w:val="false"/>
        </w:rPr>
      </w:pPr>
      <w:r>
        <w:rPr>
          <w:i w:val="false"/>
          <w:iCs w:val="false"/>
        </w:rPr>
      </w:r>
    </w:p>
    <w:p>
      <w:pPr>
        <w:pStyle w:val="BodyText"/>
        <w:rPr/>
      </w:pPr>
      <w:r>
        <w:rPr/>
        <w:t>Are Forbes’ criticisms of Patten’s revenue recognition policy valid?</w:t>
      </w:r>
    </w:p>
    <w:p>
      <w:pPr>
        <w:pStyle w:val="BodyText"/>
        <w:ind w:firstLine="720" w:end="0"/>
        <w:rPr>
          <w:i w:val="false"/>
          <w:i w:val="false"/>
          <w:iCs w:val="false"/>
        </w:rPr>
      </w:pPr>
      <w:r>
        <w:rPr>
          <w:i w:val="false"/>
          <w:iCs w:val="false"/>
        </w:rPr>
      </w:r>
    </w:p>
    <w:p>
      <w:pPr>
        <w:pStyle w:val="BodyText"/>
        <w:ind w:firstLine="720" w:end="0"/>
        <w:rPr>
          <w:i w:val="false"/>
          <w:i w:val="false"/>
          <w:iCs w:val="false"/>
        </w:rPr>
      </w:pPr>
      <w:r>
        <w:rPr>
          <w:i w:val="false"/>
          <w:iCs w:val="false"/>
        </w:rPr>
        <w:t xml:space="preserve">Forbes makes a valid point regarding the fact that Patten only allows $10,000 for bad debt.  Forbes is also correct in recognizing that Patten is operating on a negative cash flow and that Patten currently relies heavily on financing to fund its operations.  </w:t>
      </w:r>
    </w:p>
    <w:p>
      <w:pPr>
        <w:pStyle w:val="BodyText"/>
        <w:ind w:firstLine="720" w:end="0"/>
        <w:rPr>
          <w:i w:val="false"/>
          <w:i w:val="false"/>
          <w:iCs w:val="false"/>
        </w:rPr>
      </w:pPr>
      <w:r>
        <w:rPr>
          <w:i w:val="false"/>
          <w:iCs w:val="false"/>
        </w:rPr>
      </w:r>
    </w:p>
    <w:p>
      <w:pPr>
        <w:pStyle w:val="BodyText"/>
        <w:ind w:firstLine="720" w:end="0"/>
        <w:rPr>
          <w:i w:val="false"/>
          <w:i w:val="false"/>
          <w:iCs w:val="false"/>
        </w:rPr>
      </w:pPr>
      <w:r>
        <w:rPr>
          <w:i w:val="false"/>
          <w:iCs w:val="false"/>
        </w:rPr>
        <w:t xml:space="preserve">But none of these criticisms argues for use of the installment method by Patten.  Investors could—and perhaps should—pressure Patten to increase the size of its allowance for bad debt.  More important, given Patten’s negative cash flow from operations, investors might question whether Patten will be able to sustain its debt-funded growth strategy and therefore whether it is even advisable to invest in Patten in the first place.  Given the information provided, investors and analysts are justified in raising questions about issues such as Patten’s strategy, its decision regarding allowance for bad debt and its negative cash flow from operations.  But Patten appears justified in applying the sales method for financial reporting purposes.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720"/>
      </w:pPr>
      <w:rPr>
        <w:rFonts w:ascii="Wingdings" w:hAnsi="Wingdings" w:cs="Wingdings" w:hint="default"/>
        <w:sz w:val="16"/>
      </w:rPr>
    </w:lvl>
    <w:lvl w:ilvl="1">
      <w:start w:val="1"/>
      <w:numFmt w:val="decimal"/>
      <w:lvlText w:val="%2."/>
      <w:lvlJc w:val="start"/>
      <w:pPr>
        <w:tabs>
          <w:tab w:val="num" w:pos="1080"/>
        </w:tabs>
        <w:ind w:start="1080" w:hanging="360"/>
      </w:pPr>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sz w:val="16"/>
    </w:rPr>
  </w:style>
  <w:style w:type="character" w:styleId="WW8Num1z1">
    <w:name w:val="WW8Num1z1"/>
    <w:qFormat/>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2000-09-16T22:48:00Z</dcterms:created>
  <dc:creator>jdasovic</dc:creator>
  <dc:description/>
  <dc:language>en-CA</dc:language>
  <cp:lastModifiedBy>jdasovic</cp:lastModifiedBy>
  <dcterms:modified xsi:type="dcterms:W3CDTF">2000-09-16T23:53:00Z</dcterms:modified>
  <cp:revision>6</cp:revision>
  <dc:subject/>
  <dc:title>Question #4:</dc:title>
</cp:coreProperties>
</file>