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autoSpaceDE w:val="false"/>
        <w:spacing w:lineRule="atLeast" w:line="240"/>
        <w:rPr/>
      </w:pPr>
      <w:r>
        <w:rPr>
          <w:color w:val="000000"/>
        </w:rPr>
        <w:t>1</w:t>
      </w:r>
      <w:r>
        <w:rPr>
          <w:i/>
          <w:iCs/>
          <w:color w:val="000000"/>
        </w:rPr>
        <w:t>.  Evaluate Patten's business strategy.</w:t>
      </w:r>
    </w:p>
    <w:p>
      <w:pPr>
        <w:pStyle w:val="Normal"/>
        <w:autoSpaceDE w:val="false"/>
        <w:spacing w:lineRule="atLeast" w:line="240"/>
        <w:rPr>
          <w:i/>
          <w:i/>
          <w:iCs/>
          <w:color w:val="000000"/>
        </w:rPr>
      </w:pPr>
      <w:r>
        <w:rPr>
          <w:i/>
          <w:iCs/>
          <w:color w:val="000000"/>
        </w:rPr>
      </w:r>
    </w:p>
    <w:p>
      <w:pPr>
        <w:pStyle w:val="BodyTextIndent"/>
        <w:rPr/>
      </w:pPr>
      <w:r>
        <w:rPr/>
        <w:t>First, Patten's real expertise is in real estate development.  They have a well thought out strategy of kmowing the customer and how to sell effectively to these customers.  They have developed a good business relationship with the large property owners.  With little risk they analyze their ability to subdivide the properties.  Once this is completed and the land purchased, they unleash their marketing</w:t>
      </w:r>
    </w:p>
    <w:p>
      <w:pPr>
        <w:pStyle w:val="Normal"/>
        <w:autoSpaceDE w:val="false"/>
        <w:spacing w:lineRule="atLeast" w:line="240"/>
        <w:rPr>
          <w:color w:val="000000"/>
        </w:rPr>
      </w:pPr>
      <w:r>
        <w:rPr>
          <w:color w:val="000000"/>
        </w:rPr>
        <w:t xml:space="preserve">strategy.    </w:t>
      </w:r>
    </w:p>
    <w:p>
      <w:pPr>
        <w:pStyle w:val="Normal"/>
        <w:autoSpaceDE w:val="false"/>
        <w:spacing w:lineRule="atLeast" w:line="240"/>
        <w:rPr>
          <w:color w:val="000000"/>
        </w:rPr>
      </w:pPr>
      <w:r>
        <w:rPr>
          <w:color w:val="000000"/>
        </w:rPr>
      </w:r>
    </w:p>
    <w:p>
      <w:pPr>
        <w:pStyle w:val="Normal"/>
        <w:autoSpaceDE w:val="false"/>
        <w:spacing w:lineRule="atLeast" w:line="240"/>
        <w:ind w:firstLine="720" w:end="0"/>
        <w:rPr>
          <w:color w:val="000000"/>
        </w:rPr>
      </w:pPr>
      <w:r>
        <w:rPr>
          <w:color w:val="000000"/>
        </w:rPr>
        <w:t xml:space="preserve">The marketing strategy seems to effectively gain sales without extravagant costs.  The sales staff is custom designed to relate personally to the average customer.  Their gross margin for land sales is 54.8%.  Including selling, general and admininstrative expenses, their margin remains a respectable 24%.    </w:t>
      </w:r>
    </w:p>
    <w:p>
      <w:pPr>
        <w:pStyle w:val="Normal"/>
        <w:autoSpaceDE w:val="false"/>
        <w:spacing w:lineRule="atLeast" w:line="240"/>
        <w:ind w:firstLine="720" w:end="0"/>
        <w:rPr>
          <w:color w:val="000000"/>
        </w:rPr>
      </w:pPr>
      <w:r>
        <w:rPr>
          <w:color w:val="000000"/>
        </w:rPr>
      </w:r>
    </w:p>
    <w:p>
      <w:pPr>
        <w:pStyle w:val="Normal"/>
        <w:autoSpaceDE w:val="false"/>
        <w:spacing w:lineRule="atLeast" w:line="240"/>
        <w:ind w:firstLine="720" w:end="0"/>
        <w:rPr/>
      </w:pPr>
      <w:r>
        <w:rPr>
          <w:color w:val="000000"/>
        </w:rPr>
        <w:t xml:space="preserve">Less compelling is Patten’s strategy as it relates to their finance business.  Patten’s strategy prompts one to ask, “Can land developers be expected to execute well in the area of land financing? Patten should consider placing greater reliance on finance professionals for the land financing portion of the business.  For example, Patten could establish a preferred financing company and negotiate a standard finder’s fee for the loans.  More importantly, this strategy would eliminate the risk Patten currently faces in their revenue streams for which they are receiving criticism from the likes of </w:t>
      </w:r>
      <w:r>
        <w:rPr>
          <w:i/>
          <w:iCs/>
          <w:color w:val="000000"/>
        </w:rPr>
        <w:t>Forbes</w:t>
      </w:r>
      <w:r>
        <w:rPr>
          <w:color w:val="000000"/>
        </w:rPr>
        <w:t xml:space="preserve">.  When Patten makes a sale, the revenue could be immediately booked since Patten would not hold the debt, the finance company would.  </w:t>
      </w:r>
    </w:p>
    <w:p>
      <w:pPr>
        <w:pStyle w:val="Normal"/>
        <w:autoSpaceDE w:val="false"/>
        <w:spacing w:lineRule="atLeast" w:line="240"/>
        <w:ind w:firstLine="720" w:end="0"/>
        <w:rPr>
          <w:color w:val="000000"/>
        </w:rPr>
      </w:pPr>
      <w:r>
        <w:rPr>
          <w:color w:val="000000"/>
        </w:rPr>
      </w:r>
    </w:p>
    <w:p>
      <w:pPr>
        <w:pStyle w:val="Normal"/>
        <w:autoSpaceDE w:val="false"/>
        <w:spacing w:lineRule="atLeast" w:line="240"/>
        <w:ind w:firstLine="720" w:end="0"/>
        <w:rPr/>
      </w:pPr>
      <w:r>
        <w:rPr>
          <w:color w:val="000000"/>
        </w:rPr>
        <w:t xml:space="preserve">Patten’s current portfolio of notes receivable is $18.6M.  Ignoring expenses, Patten’s financing margin appears to be about 3%, which equates to a meager $0.56M in revenues.  This number seems small compared to the accounting heartburn and criticism it creates. This number would be smaller still if Patten increased its allowance for bad debt as called for in the </w:t>
      </w:r>
      <w:r>
        <w:rPr>
          <w:i/>
          <w:iCs/>
          <w:color w:val="000000"/>
        </w:rPr>
        <w:t>Forbes</w:t>
      </w:r>
      <w:r>
        <w:rPr>
          <w:color w:val="000000"/>
        </w:rPr>
        <w:t xml:space="preserve"> article.    In sum, Patten’s core competency is land development and sales, not land finance.  Patten would do better to stick to the former.</w:t>
      </w:r>
    </w:p>
    <w:p>
      <w:pPr>
        <w:pStyle w:val="Normal"/>
        <w:autoSpaceDE w:val="false"/>
        <w:spacing w:lineRule="atLeast" w:line="240"/>
        <w:ind w:firstLine="720" w:end="0"/>
        <w:rPr>
          <w:color w:val="000000"/>
        </w:rPr>
      </w:pPr>
      <w:r>
        <w:rPr>
          <w:color w:val="000000"/>
        </w:rPr>
      </w:r>
    </w:p>
    <w:p>
      <w:pPr>
        <w:pStyle w:val="BodyText"/>
        <w:rPr/>
      </w:pPr>
      <w:r>
        <w:rPr>
          <w:i w:val="false"/>
          <w:iCs w:val="false"/>
          <w:sz w:val="20"/>
        </w:rPr>
        <w:t>2.</w:t>
        <w:tab/>
      </w:r>
      <w:r>
        <w:rPr>
          <w:sz w:val="20"/>
        </w:rPr>
        <w:t>If Patten recognized revenue when it received cash rather than on the accrual basis it currently uses, what items in the company’s 1986 income statement and balance sheet would change, and by how much?</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3.</w:t>
      </w:r>
      <w:r>
        <w:rPr>
          <w:sz w:val="20"/>
        </w:rPr>
        <w:tab/>
        <w:t>Does the cash basis reflect Patten’s performance better or worse than the company’s present accounting method? Do the accounting rules justify Patten’s current revenue recognition policy?</w:t>
      </w:r>
    </w:p>
    <w:p>
      <w:pPr>
        <w:pStyle w:val="BodyText"/>
        <w:rPr>
          <w:i w:val="false"/>
          <w:i w:val="false"/>
          <w:iCs w:val="false"/>
          <w:sz w:val="20"/>
        </w:rPr>
      </w:pPr>
      <w:r>
        <w:rPr>
          <w:i w:val="false"/>
          <w:iCs w:val="false"/>
          <w:sz w:val="20"/>
        </w:rPr>
      </w:r>
    </w:p>
    <w:p>
      <w:pPr>
        <w:pStyle w:val="BodyText"/>
        <w:rPr>
          <w:i w:val="false"/>
          <w:i w:val="false"/>
          <w:iCs w:val="false"/>
          <w:sz w:val="20"/>
        </w:rPr>
      </w:pPr>
      <w:r>
        <w:rPr>
          <w:i w:val="false"/>
          <w:iCs w:val="false"/>
          <w:sz w:val="20"/>
        </w:rPr>
        <w:tab/>
        <w:t xml:space="preserve">For the reasons stated below, the accounting rules justify Patten’s use of the current revenue recognition policy—the sales method.  Performance must be judged on the basis of analysis that takes into account all of the information provided in the company’s financial report, including the balance sheet, the income statement, the statement of cash flows, and notes. </w:t>
      </w:r>
    </w:p>
    <w:p>
      <w:pPr>
        <w:pStyle w:val="BodyText"/>
        <w:rPr>
          <w:i w:val="false"/>
          <w:i w:val="false"/>
          <w:iCs w:val="false"/>
          <w:sz w:val="20"/>
        </w:rPr>
      </w:pPr>
      <w:r>
        <w:rPr>
          <w:i w:val="false"/>
          <w:iCs w:val="false"/>
          <w:sz w:val="20"/>
        </w:rPr>
      </w:r>
    </w:p>
    <w:p>
      <w:pPr>
        <w:pStyle w:val="BodyText"/>
        <w:ind w:firstLine="720" w:end="0"/>
        <w:rPr>
          <w:i w:val="false"/>
          <w:i w:val="false"/>
          <w:iCs w:val="false"/>
          <w:sz w:val="20"/>
        </w:rPr>
      </w:pPr>
      <w:r>
        <w:rPr>
          <w:i w:val="false"/>
          <w:iCs w:val="false"/>
          <w:sz w:val="20"/>
        </w:rPr>
        <w:t>According to the text, “APB Opinion 10 is very emphatic that “’unless the circumstances are such that the collection of the sale price is not reasonably assured,’ the installment method of recognizing income is not acceptable for financial reporting purposes.  The sales method must be used.”  Based on the information provided, the collection of Pattens’ sales appears to be reasonably assured, though Patten could clearly do more to convince the investment community that this is case.</w:t>
      </w:r>
    </w:p>
    <w:p>
      <w:pPr>
        <w:pStyle w:val="BodyText"/>
        <w:rPr>
          <w:i w:val="false"/>
          <w:i w:val="false"/>
          <w:iCs w:val="false"/>
          <w:sz w:val="20"/>
        </w:rPr>
      </w:pPr>
      <w:r>
        <w:rPr>
          <w:i w:val="false"/>
          <w:iCs w:val="false"/>
          <w:sz w:val="20"/>
        </w:rPr>
      </w:r>
    </w:p>
    <w:p>
      <w:pPr>
        <w:pStyle w:val="BodyText"/>
        <w:ind w:firstLine="720" w:end="0"/>
        <w:rPr>
          <w:i w:val="false"/>
          <w:i w:val="false"/>
          <w:iCs w:val="false"/>
          <w:sz w:val="20"/>
        </w:rPr>
      </w:pPr>
      <w:r>
        <w:rPr>
          <w:i w:val="false"/>
          <w:iCs w:val="false"/>
          <w:sz w:val="20"/>
        </w:rPr>
        <w:t>First, the company performs substantially the same type of credit review of the customer as lending institutions undertake.  Thus, Patten does not seem willing to take on more risk than other, traditionally conservative lending institutions.  There is a substantial body of data generated from the activities of these lending institutions to support the “reasonably assured” standard under the sales method.  The fact that Patten targets affluent buyers increases the likelihood of collection.</w:t>
      </w:r>
    </w:p>
    <w:p>
      <w:pPr>
        <w:pStyle w:val="BodyText"/>
        <w:ind w:firstLine="720" w:end="0"/>
        <w:rPr>
          <w:i w:val="false"/>
          <w:i w:val="false"/>
          <w:iCs w:val="false"/>
          <w:sz w:val="20"/>
        </w:rPr>
      </w:pPr>
      <w:r>
        <w:rPr>
          <w:i w:val="false"/>
          <w:iCs w:val="false"/>
          <w:sz w:val="20"/>
        </w:rPr>
      </w:r>
    </w:p>
    <w:p>
      <w:pPr>
        <w:pStyle w:val="BodyText"/>
        <w:ind w:firstLine="720" w:end="0"/>
        <w:rPr>
          <w:i w:val="false"/>
          <w:i w:val="false"/>
          <w:iCs w:val="false"/>
          <w:sz w:val="20"/>
        </w:rPr>
      </w:pPr>
      <w:r>
        <w:rPr>
          <w:i w:val="false"/>
          <w:iCs w:val="false"/>
          <w:sz w:val="20"/>
        </w:rPr>
        <w:t>In addition, it appears that Patten meets the conditions included in FASB Statement No. 66 necessary to apply the sales method:</w:t>
      </w:r>
    </w:p>
    <w:p>
      <w:pPr>
        <w:pStyle w:val="BodyText"/>
        <w:ind w:firstLine="720" w:end="0"/>
        <w:rPr>
          <w:i w:val="false"/>
          <w:i w:val="false"/>
          <w:iCs w:val="false"/>
          <w:sz w:val="20"/>
        </w:rPr>
      </w:pPr>
      <w:r>
        <w:rPr>
          <w:i w:val="false"/>
          <w:iCs w:val="false"/>
          <w:sz w:val="20"/>
        </w:rPr>
      </w:r>
    </w:p>
    <w:p>
      <w:pPr>
        <w:pStyle w:val="BodyText"/>
        <w:numPr>
          <w:ilvl w:val="2"/>
          <w:numId w:val="1"/>
        </w:numPr>
        <w:tabs>
          <w:tab w:val="clear" w:pos="720"/>
        </w:tabs>
        <w:ind w:hanging="360" w:start="720" w:end="0"/>
        <w:rPr>
          <w:i w:val="false"/>
          <w:i w:val="false"/>
          <w:iCs w:val="false"/>
          <w:sz w:val="20"/>
        </w:rPr>
      </w:pPr>
      <w:r>
        <w:rPr>
          <w:i w:val="false"/>
          <w:iCs w:val="false"/>
          <w:sz w:val="20"/>
        </w:rPr>
        <w:t>Patten requires the buyer to pay at least 10% of the purchase price up front.</w:t>
      </w:r>
    </w:p>
    <w:p>
      <w:pPr>
        <w:pStyle w:val="BodyText"/>
        <w:numPr>
          <w:ilvl w:val="2"/>
          <w:numId w:val="1"/>
        </w:numPr>
        <w:tabs>
          <w:tab w:val="clear" w:pos="720"/>
        </w:tabs>
        <w:ind w:hanging="360" w:start="720" w:end="0"/>
        <w:rPr>
          <w:i w:val="false"/>
          <w:i w:val="false"/>
          <w:iCs w:val="false"/>
          <w:sz w:val="20"/>
        </w:rPr>
      </w:pPr>
      <w:r>
        <w:rPr>
          <w:i w:val="false"/>
          <w:iCs w:val="false"/>
          <w:sz w:val="20"/>
        </w:rPr>
        <w:t>Patten generally sells the parcels “as is,” without any additional obligations to construct amenities or other facilities.</w:t>
      </w:r>
    </w:p>
    <w:p>
      <w:pPr>
        <w:pStyle w:val="BodyText"/>
        <w:numPr>
          <w:ilvl w:val="2"/>
          <w:numId w:val="1"/>
        </w:numPr>
        <w:tabs>
          <w:tab w:val="clear" w:pos="720"/>
        </w:tabs>
        <w:ind w:hanging="360" w:start="720" w:end="0"/>
        <w:rPr>
          <w:i w:val="false"/>
          <w:i w:val="false"/>
          <w:iCs w:val="false"/>
          <w:sz w:val="20"/>
        </w:rPr>
      </w:pPr>
      <w:r>
        <w:rPr>
          <w:i w:val="false"/>
          <w:iCs w:val="false"/>
          <w:sz w:val="20"/>
        </w:rPr>
        <w:t xml:space="preserve">As stated by Mr. Dion, Patten has not experienced any material losses on its mortgage portfolio over the preceding five years. </w:t>
      </w:r>
    </w:p>
    <w:p>
      <w:pPr>
        <w:pStyle w:val="BodyText"/>
        <w:rPr>
          <w:i w:val="false"/>
          <w:i w:val="false"/>
          <w:iCs w:val="false"/>
          <w:sz w:val="20"/>
        </w:rPr>
      </w:pPr>
      <w:r>
        <w:rPr>
          <w:i w:val="false"/>
          <w:iCs w:val="false"/>
          <w:sz w:val="20"/>
        </w:rPr>
      </w:r>
    </w:p>
    <w:p>
      <w:pPr>
        <w:pStyle w:val="BodyText"/>
        <w:rPr>
          <w:sz w:val="20"/>
        </w:rPr>
      </w:pPr>
      <w:r>
        <w:rPr>
          <w:sz w:val="20"/>
        </w:rPr>
        <w:t>Are Forbes’ criticisms of Patten’s revenue recognition policy valid?</w:t>
      </w:r>
    </w:p>
    <w:p>
      <w:pPr>
        <w:pStyle w:val="BodyText"/>
        <w:ind w:firstLine="720" w:end="0"/>
        <w:rPr>
          <w:i w:val="false"/>
          <w:i w:val="false"/>
          <w:iCs w:val="false"/>
          <w:sz w:val="20"/>
        </w:rPr>
      </w:pPr>
      <w:r>
        <w:rPr>
          <w:i w:val="false"/>
          <w:iCs w:val="false"/>
          <w:sz w:val="20"/>
        </w:rPr>
      </w:r>
    </w:p>
    <w:p>
      <w:pPr>
        <w:pStyle w:val="BodyText"/>
        <w:ind w:firstLine="720" w:end="0"/>
        <w:rPr>
          <w:i w:val="false"/>
          <w:i w:val="false"/>
          <w:iCs w:val="false"/>
          <w:sz w:val="20"/>
        </w:rPr>
      </w:pPr>
      <w:r>
        <w:rPr>
          <w:i w:val="false"/>
          <w:iCs w:val="false"/>
          <w:sz w:val="20"/>
        </w:rPr>
        <w:t xml:space="preserve">Forbes makes a valid point regarding the fact that Patten only allows $10,000 for bad debt.  Forbes is also correct in recognizing that Patten is operating on a negative cash flow and that Patten currently relies heavily on financing to fund its operations.  </w:t>
      </w:r>
    </w:p>
    <w:p>
      <w:pPr>
        <w:pStyle w:val="BodyText"/>
        <w:ind w:firstLine="720" w:end="0"/>
        <w:rPr>
          <w:i w:val="false"/>
          <w:i w:val="false"/>
          <w:iCs w:val="false"/>
          <w:sz w:val="20"/>
        </w:rPr>
      </w:pPr>
      <w:r>
        <w:rPr>
          <w:i w:val="false"/>
          <w:iCs w:val="false"/>
          <w:sz w:val="20"/>
        </w:rPr>
      </w:r>
    </w:p>
    <w:p>
      <w:pPr>
        <w:pStyle w:val="BodyText"/>
        <w:ind w:firstLine="720" w:end="0"/>
        <w:rPr/>
      </w:pPr>
      <w:r>
        <w:rPr>
          <w:i w:val="false"/>
          <w:iCs w:val="false"/>
          <w:sz w:val="20"/>
        </w:rPr>
        <w:t>But none of these criticisms argues for use of the installment method by Patten.  Investors could—and perhaps should—pressure Patten to increase the size of its allowance for bad debt.  More important, given Patten’s negative cash flow from operations, investors might question whether Patten will be able to sustain its debt-funded growth strategy, and whether it is even advisable to invest in Patten in the first place.  Given the information provided, investors and analysts are justified in raising questions about issues such as Patten’s strategy, its decision regarding allowance for bad debt, and its negative cash flow from operations.  But Patten appears justified in applying the sales method for financial reporting purposes.</w:t>
      </w:r>
      <w:r>
        <w:rPr>
          <w:i w:val="false"/>
          <w:iCs w:val="false"/>
        </w:rPr>
        <w:t xml:space="preserve"> </w:t>
      </w:r>
    </w:p>
    <w:p>
      <w:pPr>
        <w:pStyle w:val="Normal"/>
        <w:rPr>
          <w:i/>
          <w:i/>
          <w:iCs/>
        </w:rPr>
      </w:pPr>
      <w:r>
        <w:rPr>
          <w:i/>
          <w:iCs/>
        </w:rPr>
      </w:r>
    </w:p>
    <w:p>
      <w:pPr>
        <w:pStyle w:val="Normal"/>
        <w:rPr/>
      </w:pPr>
      <w:r>
        <w:rPr/>
        <w:t>4.</w:t>
        <w:tab/>
      </w:r>
      <w:r>
        <w:rPr>
          <w:i/>
          <w:iCs/>
        </w:rPr>
        <w:t>What advice would you give Mr. Dion about the steps he may take to increase investors’ confidence in Patten’s reported financial results?</w:t>
      </w:r>
    </w:p>
    <w:p>
      <w:pPr>
        <w:pStyle w:val="Normal"/>
        <w:rPr>
          <w:i/>
          <w:i/>
          <w:iCs/>
        </w:rPr>
      </w:pPr>
      <w:r>
        <w:rPr>
          <w:i/>
          <w:iCs/>
        </w:rPr>
      </w:r>
    </w:p>
    <w:p>
      <w:pPr>
        <w:pStyle w:val="Normal"/>
        <w:ind w:firstLine="720" w:end="0"/>
        <w:rPr/>
      </w:pPr>
      <w:r>
        <w:rPr/>
        <w:t xml:space="preserve">Confidence in financial statements can be high if the statements themselves directly or indirectly provide the information users of the statements feel they need to adequately analyze the stock.  In Patten’s annual report, detailed information about the nature of the notes receivable only only covers the total amount of the notes and the projected cash streams from the contracts.  The report provides no detail regarding the number of contracts, the age of the contracts, or the number of contracts in default.  Mr. Dion and Patten might benefit from providing this information to the users.  </w:t>
      </w:r>
    </w:p>
    <w:p>
      <w:pPr>
        <w:pStyle w:val="Normal"/>
        <w:ind w:firstLine="720" w:end="0"/>
        <w:rPr/>
      </w:pPr>
      <w:r>
        <w:rPr/>
      </w:r>
    </w:p>
    <w:p>
      <w:pPr>
        <w:pStyle w:val="Normal"/>
        <w:ind w:firstLine="720" w:end="0"/>
        <w:rPr/>
      </w:pPr>
      <w:r>
        <w:rPr>
          <w:i/>
          <w:iCs/>
        </w:rPr>
        <w:t>Forbes</w:t>
      </w:r>
      <w:r>
        <w:rPr/>
        <w:t xml:space="preserve">’ criticism does not explicitly address the question of whether Patten is correctly preparing its statements, but rather focuses on the fact that the information provided is incomplete.  More information is needed of the historical defaults:  How they were accounted for (Patten will often only terminate the contract and take a loss on the note receivable), and what the prospects are for further defaults.  </w:t>
      </w:r>
    </w:p>
    <w:p>
      <w:pPr>
        <w:pStyle w:val="Normal"/>
        <w:ind w:firstLine="720" w:end="0"/>
        <w:rPr/>
      </w:pPr>
      <w:r>
        <w:rPr/>
      </w:r>
    </w:p>
    <w:p>
      <w:pPr>
        <w:pStyle w:val="Normal"/>
        <w:ind w:firstLine="720" w:end="0"/>
        <w:rPr/>
      </w:pPr>
      <w:r>
        <w:rPr/>
        <w:t xml:space="preserve">An additional concern that Patten ought to address is the fact that the parcels sold are generally not the primary residences of buyers, which means that the buyer might be more likely to default when economic conditions change (e.g., recession or increased prime rates).  By providing more detailed, historical data in the annual report, Mr. Dion may be able to address such concerns.  Finally, Patten’s business model relies on the ability to make money from the interest rate spread between the rate at which Patten can borrow funds and the rate they charge their customers. Unless Mr. Dion can demonstrate that low interest financing will continue through bond issuance or other methods, it is difficult to see how Patten can demonstrate that its business model is sustainable.  </w:t>
      </w:r>
    </w:p>
    <w:p>
      <w:pPr>
        <w:pStyle w:val="Normal"/>
        <w:ind w:firstLine="720" w:end="0"/>
        <w:rPr/>
      </w:pPr>
      <w:r>
        <w:rPr/>
      </w:r>
    </w:p>
    <w:p>
      <w:pPr>
        <w:pStyle w:val="Normal"/>
        <w:ind w:firstLine="720" w:end="0"/>
        <w:rPr/>
      </w:pPr>
      <w:r>
        <w:rPr/>
        <w:t xml:space="preserve">Investors become concerned when they feel they do not have enough information.  Under these conditions, investors’ first reaction is to assume that management is withholding the information for dubious reasons.  For Mr. Dion, filling in a few of the holes may go a long way to restoring confidence in Patten.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Jeff Dasovich, James Jackson, Kimberly Kupiecki, Dylan Windham </w:t>
    </w:r>
  </w:p>
  <w:p>
    <w:pPr>
      <w:pStyle w:val="Header"/>
      <w:jc w:val="end"/>
      <w:rPr/>
    </w:pPr>
    <w:r>
      <w:rPr/>
      <w:t>Corporate Financial Reporting—E220</w:t>
    </w:r>
  </w:p>
  <w:p>
    <w:pPr>
      <w:pStyle w:val="Header"/>
      <w:jc w:val="end"/>
      <w:rPr/>
    </w:pPr>
    <w:r>
      <w:rPr/>
      <w:t>Professor Aceves</w:t>
    </w:r>
  </w:p>
  <w:p>
    <w:pPr>
      <w:pStyle w:val="Header"/>
      <w:jc w:val="end"/>
      <w:rPr/>
    </w:pPr>
    <w:r>
      <w:rPr/>
      <w:t>Case 10-3:  Patten Corporation</w:t>
    </w:r>
  </w:p>
  <w:p>
    <w:pPr>
      <w:pStyle w:val="Header"/>
      <w:jc w:val="end"/>
      <w:rPr/>
    </w:pPr>
    <w:r>
      <w:rPr>
        <w:rStyle w:val="PageNumber"/>
      </w:rPr>
      <w:t>September 17, 2000</w:t>
    </w:r>
  </w:p>
  <w:p>
    <w:pPr>
      <w:pStyle w:val="Header"/>
      <w:jc w:val="end"/>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Wingdings" w:hAnsi="Wingdings" w:cs="Wingdings" w:hint="default"/>
        <w:sz w:val="16"/>
      </w:rPr>
    </w:lvl>
    <w:lvl w:ilvl="1">
      <w:start w:val="1"/>
      <w:numFmt w:val="decimal"/>
      <w:lvlText w:val="%2."/>
      <w:lvlJc w:val="start"/>
      <w:pPr>
        <w:tabs>
          <w:tab w:val="num" w:pos="1080"/>
        </w:tabs>
        <w:ind w:start="1080" w:hanging="360"/>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sz w:val="16"/>
    </w:rPr>
  </w:style>
  <w:style w:type="character" w:styleId="WW8Num1z1">
    <w:name w:val="WW8Num1z1"/>
    <w:qFormat/>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firstLine="720" w:start="0" w:end="0"/>
    </w:pPr>
    <w:rPr>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2000-09-15T16:05:00Z</dcterms:created>
  <dc:creator>Dylan &amp; Julie Windham</dc:creator>
  <dc:description/>
  <dc:language>en-CA</dc:language>
  <cp:lastModifiedBy>jdasovic</cp:lastModifiedBy>
  <cp:lastPrinted>2000-09-15T13:29:00Z</cp:lastPrinted>
  <dcterms:modified xsi:type="dcterms:W3CDTF">2000-09-17T13:23:00Z</dcterms:modified>
  <cp:revision>8</cp:revision>
  <dc:subject/>
  <dc:title>4</dc:title>
</cp:coreProperties>
</file>