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Patten Case, 10-3</w:t>
      </w:r>
    </w:p>
    <w:p>
      <w:pPr>
        <w:pStyle w:val="Normal"/>
        <w:rPr/>
      </w:pPr>
      <w:r>
        <w:rPr/>
      </w:r>
    </w:p>
    <w:p>
      <w:pPr>
        <w:pStyle w:val="Normal"/>
        <w:rPr/>
      </w:pPr>
      <w:r>
        <w:rPr/>
        <w:t>Q2 - If Patten recognized revenue when it received cash rather than on the accrual basis it currently uses, what items in the company's 1986 income statement and balance sheet would change, and by how much?</w:t>
      </w:r>
    </w:p>
    <w:p>
      <w:pPr>
        <w:pStyle w:val="Normal"/>
        <w:rPr/>
      </w:pPr>
      <w:r>
        <w:rPr/>
      </w:r>
    </w:p>
    <w:p>
      <w:pPr>
        <w:pStyle w:val="Normal"/>
        <w:rPr/>
      </w:pPr>
      <w:r>
        <w:rPr/>
        <w:t>The attached spread sheet shows the calculation detail, below is a table summarizing the changes in the income statement and balance sheet:</w:t>
      </w:r>
    </w:p>
    <w:p>
      <w:pPr>
        <w:pStyle w:val="Normal"/>
        <w:rPr/>
      </w:pPr>
      <w:r>
        <w:rPr/>
      </w:r>
    </w:p>
    <w:p>
      <w:pPr>
        <w:pStyle w:val="Normal"/>
        <w:rPr/>
      </w:pPr>
      <w:r>
        <w:rPr/>
        <w:t>Changes to Income Statement:</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2952"/>
        <w:gridCol w:w="1926"/>
        <w:gridCol w:w="1980"/>
        <w:gridCol w:w="1980"/>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Item</w:t>
            </w:r>
          </w:p>
        </w:tc>
        <w:tc>
          <w:tcPr>
            <w:tcW w:w="1926" w:type="dxa"/>
            <w:tcBorders>
              <w:top w:val="single" w:sz="4" w:space="0" w:color="000000"/>
              <w:start w:val="single" w:sz="4" w:space="0" w:color="000000"/>
              <w:bottom w:val="single" w:sz="4" w:space="0" w:color="000000"/>
              <w:end w:val="single" w:sz="4" w:space="0" w:color="000000"/>
            </w:tcBorders>
          </w:tcPr>
          <w:p>
            <w:pPr>
              <w:pStyle w:val="Normal"/>
              <w:rPr/>
            </w:pPr>
            <w:r>
              <w:rPr/>
              <w:t>Current (accrual)</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Cash Method</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Difference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Sale of Real Estate</w:t>
            </w:r>
          </w:p>
        </w:tc>
        <w:tc>
          <w:tcPr>
            <w:tcW w:w="1926" w:type="dxa"/>
            <w:tcBorders>
              <w:top w:val="single" w:sz="4" w:space="0" w:color="000000"/>
              <w:start w:val="single" w:sz="4" w:space="0" w:color="000000"/>
              <w:bottom w:val="single" w:sz="4" w:space="0" w:color="000000"/>
              <w:end w:val="single" w:sz="4" w:space="0" w:color="000000"/>
            </w:tcBorders>
          </w:tcPr>
          <w:p>
            <w:pPr>
              <w:pStyle w:val="Normal"/>
              <w:rPr/>
            </w:pPr>
            <w:r>
              <w:rPr/>
              <w:t>$33,262,613</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$14,699,751</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($18,562,862)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Cost of Real Estate Sold</w:t>
            </w:r>
          </w:p>
        </w:tc>
        <w:tc>
          <w:tcPr>
            <w:tcW w:w="1926" w:type="dxa"/>
            <w:tcBorders>
              <w:top w:val="single" w:sz="4" w:space="0" w:color="000000"/>
              <w:start w:val="single" w:sz="4" w:space="0" w:color="000000"/>
              <w:bottom w:val="single" w:sz="4" w:space="0" w:color="000000"/>
              <w:end w:val="single" w:sz="4" w:space="0" w:color="000000"/>
            </w:tcBorders>
          </w:tcPr>
          <w:p>
            <w:pPr>
              <w:pStyle w:val="Normal"/>
              <w:rPr/>
            </w:pPr>
            <w:r>
              <w:rPr/>
              <w:t>$15,028,396</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$6,641,501</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($8,386,695)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Income from Operations</w:t>
            </w:r>
          </w:p>
        </w:tc>
        <w:tc>
          <w:tcPr>
            <w:tcW w:w="1926" w:type="dxa"/>
            <w:tcBorders>
              <w:top w:val="single" w:sz="4" w:space="0" w:color="000000"/>
              <w:start w:val="single" w:sz="4" w:space="0" w:color="000000"/>
              <w:bottom w:val="single" w:sz="4" w:space="0" w:color="000000"/>
              <w:end w:val="single" w:sz="4" w:space="0" w:color="000000"/>
            </w:tcBorders>
          </w:tcPr>
          <w:p>
            <w:pPr>
              <w:pStyle w:val="Normal"/>
              <w:rPr/>
            </w:pPr>
            <w:r>
              <w:rPr/>
              <w:t>$8,657,839</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$151,828</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($10,175,967)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Income before taxes</w:t>
            </w:r>
          </w:p>
        </w:tc>
        <w:tc>
          <w:tcPr>
            <w:tcW w:w="1926" w:type="dxa"/>
            <w:tcBorders>
              <w:top w:val="single" w:sz="4" w:space="0" w:color="000000"/>
              <w:start w:val="single" w:sz="4" w:space="0" w:color="000000"/>
              <w:bottom w:val="single" w:sz="4" w:space="0" w:color="000000"/>
              <w:end w:val="single" w:sz="4" w:space="0" w:color="000000"/>
            </w:tcBorders>
          </w:tcPr>
          <w:p>
            <w:pPr>
              <w:pStyle w:val="Normal"/>
              <w:rPr/>
            </w:pPr>
            <w:r>
              <w:rPr/>
              <w:t>$8,809,686</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($1,366,281)</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($10,175,967)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Income before min interest</w:t>
            </w:r>
          </w:p>
        </w:tc>
        <w:tc>
          <w:tcPr>
            <w:tcW w:w="1926" w:type="dxa"/>
            <w:tcBorders>
              <w:top w:val="single" w:sz="4" w:space="0" w:color="000000"/>
              <w:start w:val="single" w:sz="4" w:space="0" w:color="000000"/>
              <w:bottom w:val="single" w:sz="4" w:space="0" w:color="000000"/>
              <w:end w:val="single" w:sz="4" w:space="0" w:color="000000"/>
            </w:tcBorders>
          </w:tcPr>
          <w:p>
            <w:pPr>
              <w:pStyle w:val="Normal"/>
              <w:rPr/>
            </w:pPr>
            <w:r>
              <w:rPr/>
              <w:t>$4,625,600</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$5,550,367</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($10,175,967)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Net Income</w:t>
            </w:r>
          </w:p>
        </w:tc>
        <w:tc>
          <w:tcPr>
            <w:tcW w:w="1926" w:type="dxa"/>
            <w:tcBorders>
              <w:top w:val="single" w:sz="4" w:space="0" w:color="000000"/>
              <w:start w:val="single" w:sz="4" w:space="0" w:color="000000"/>
              <w:bottom w:val="single" w:sz="4" w:space="0" w:color="000000"/>
              <w:end w:val="single" w:sz="4" w:space="0" w:color="000000"/>
            </w:tcBorders>
          </w:tcPr>
          <w:p>
            <w:pPr>
              <w:pStyle w:val="Normal"/>
              <w:rPr/>
            </w:pPr>
            <w:r>
              <w:rPr/>
              <w:t>$3,950,814</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($6,225,153)</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($10,175,967)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Earnings per Share</w:t>
            </w:r>
          </w:p>
        </w:tc>
        <w:tc>
          <w:tcPr>
            <w:tcW w:w="1926" w:type="dxa"/>
            <w:tcBorders>
              <w:top w:val="single" w:sz="4" w:space="0" w:color="000000"/>
              <w:start w:val="single" w:sz="4" w:space="0" w:color="000000"/>
              <w:bottom w:val="single" w:sz="4" w:space="0" w:color="000000"/>
              <w:end w:val="single" w:sz="4" w:space="0" w:color="000000"/>
            </w:tcBorders>
          </w:tcPr>
          <w:p>
            <w:pPr>
              <w:pStyle w:val="Normal"/>
              <w:rPr/>
            </w:pPr>
            <w:r>
              <w:rPr/>
              <w:t>$1.40</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$-2.20</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($3.60)</w:t>
            </w:r>
          </w:p>
        </w:tc>
      </w:tr>
    </w:tbl>
    <w:p>
      <w:pPr>
        <w:pStyle w:val="Normal"/>
        <w:rPr/>
      </w:pPr>
      <w:r>
        <w:rPr/>
      </w:r>
    </w:p>
    <w:p>
      <w:pPr>
        <w:pStyle w:val="Normal"/>
        <w:rPr/>
      </w:pPr>
      <w:r>
        <w:rPr/>
        <w:t>There are no changes to the balance sheet, because the asset "notes receivable," is the same in either case.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2000-09-17T13:49:00Z</dcterms:created>
  <dc:creator>Kimberly Kupiecki</dc:creator>
  <dc:description/>
  <dc:language>en-CA</dc:language>
  <cp:lastModifiedBy>Kimberly Kupiecki</cp:lastModifiedBy>
  <dcterms:modified xsi:type="dcterms:W3CDTF">2000-09-17T14:07:00Z</dcterms:modified>
  <cp:revision>1</cp:revision>
  <dc:subject/>
  <dc:title>Patten Case, 10-3</dc:title>
</cp:coreProperties>
</file>