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left" w:pos="540" w:leader="none"/>
          <w:tab w:val="center" w:pos="4320" w:leader="none"/>
          <w:tab w:val="right" w:pos="8640" w:leader="none"/>
        </w:tabs>
        <w:rPr/>
      </w:pPr>
      <w:r>
        <w:rPr/>
        <w:drawing>
          <wp:inline distT="0" distB="0" distL="0" distR="0">
            <wp:extent cx="102044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0445" cy="1009015"/>
                    </a:xfrm>
                    <a:prstGeom prst="rect">
                      <a:avLst/>
                    </a:prstGeom>
                    <a:noFill/>
                  </pic:spPr>
                </pic:pic>
              </a:graphicData>
            </a:graphic>
          </wp:inline>
        </w:drawing>
      </w:r>
    </w:p>
    <w:p>
      <w:pPr>
        <w:pStyle w:val="Normal"/>
        <w:tabs>
          <w:tab w:val="clear" w:pos="720"/>
          <w:tab w:val="left" w:pos="540" w:leader="none"/>
        </w:tabs>
        <w:overflowPunct w:val="false"/>
        <w:autoSpaceDE w:val="false"/>
        <w:rPr>
          <w:rFonts w:ascii="Arial" w:hAnsi="Arial" w:cs="Arial"/>
          <w:szCs w:val="20"/>
        </w:rPr>
      </w:pPr>
      <w:r>
        <w:rPr>
          <w:rFonts w:cs="Arial" w:ascii="Arial" w:hAnsi="Arial"/>
          <w:szCs w:val="2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atLeast"/>
        </w:trPr>
        <w:tc>
          <w:tcPr>
            <w:tcW w:w="708" w:type="dxa"/>
            <w:tcBorders/>
          </w:tcPr>
          <w:p>
            <w:pPr>
              <w:pStyle w:val="Normal"/>
              <w:tabs>
                <w:tab w:val="clear" w:pos="720"/>
                <w:tab w:val="left" w:pos="540" w:leader="none"/>
              </w:tabs>
              <w:overflowPunct w:val="false"/>
              <w:autoSpaceDE w:val="false"/>
              <w:ind w:start="-180" w:end="0"/>
              <w:jc w:val="end"/>
              <w:rPr>
                <w:rFonts w:ascii="Arial" w:hAnsi="Arial" w:cs="Arial"/>
                <w:sz w:val="16"/>
                <w:szCs w:val="20"/>
              </w:rPr>
            </w:pPr>
            <w:r>
              <w:rPr>
                <w:sz w:val="16"/>
              </w:rPr>
              <w:t>To:</w:t>
            </w:r>
          </w:p>
        </w:tc>
        <w:tc>
          <w:tcPr>
            <w:tcW w:w="6045" w:type="dxa"/>
            <w:tcBorders/>
          </w:tcPr>
          <w:p>
            <w:pPr>
              <w:pStyle w:val="To"/>
              <w:rPr/>
            </w:pPr>
            <w:r>
              <w:rPr/>
              <w:t>Rick Shapiro</w:t>
            </w:r>
          </w:p>
        </w:tc>
        <w:tc>
          <w:tcPr>
            <w:tcW w:w="990" w:type="dxa"/>
            <w:tcBorders/>
          </w:tcPr>
          <w:p>
            <w:pPr>
              <w:pStyle w:val="Normal"/>
              <w:tabs>
                <w:tab w:val="clear" w:pos="720"/>
                <w:tab w:val="left" w:pos="540" w:leader="none"/>
              </w:tabs>
              <w:overflowPunct w:val="false"/>
              <w:autoSpaceDE w:val="false"/>
              <w:snapToGrid w:val="false"/>
              <w:ind w:start="-180" w:end="0"/>
              <w:rPr>
                <w:rFonts w:ascii="Arial" w:hAnsi="Arial" w:cs="Arial"/>
                <w:szCs w:val="20"/>
              </w:rPr>
            </w:pPr>
            <w:r>
              <w:rPr>
                <w:rFonts w:cs="Arial" w:ascii="Arial" w:hAnsi="Arial"/>
                <w:szCs w:val="20"/>
              </w:rPr>
            </w:r>
          </w:p>
        </w:tc>
        <w:tc>
          <w:tcPr>
            <w:tcW w:w="2965" w:type="dxa"/>
            <w:tcBorders/>
          </w:tcPr>
          <w:p>
            <w:pPr>
              <w:pStyle w:val="Normal"/>
              <w:tabs>
                <w:tab w:val="clear" w:pos="720"/>
                <w:tab w:val="left" w:pos="540" w:leader="none"/>
              </w:tabs>
              <w:overflowPunct w:val="false"/>
              <w:autoSpaceDE w:val="false"/>
              <w:snapToGrid w:val="false"/>
              <w:rPr>
                <w:rFonts w:ascii="Arial" w:hAnsi="Arial" w:cs="Arial"/>
                <w:szCs w:val="20"/>
              </w:rPr>
            </w:pPr>
            <w:r>
              <w:rPr>
                <w:rFonts w:cs="Arial" w:ascii="Arial" w:hAnsi="Arial"/>
                <w:szCs w:val="20"/>
              </w:rPr>
            </w:r>
          </w:p>
        </w:tc>
      </w:tr>
      <w:tr>
        <w:trPr>
          <w:trHeight w:val="216" w:hRule="atLeast"/>
        </w:trPr>
        <w:tc>
          <w:tcPr>
            <w:tcW w:w="708" w:type="dxa"/>
            <w:tcBorders/>
          </w:tcPr>
          <w:p>
            <w:pPr>
              <w:pStyle w:val="Normal"/>
              <w:tabs>
                <w:tab w:val="clear" w:pos="720"/>
                <w:tab w:val="left" w:pos="540" w:leader="none"/>
              </w:tabs>
              <w:overflowPunct w:val="false"/>
              <w:autoSpaceDE w:val="false"/>
              <w:snapToGrid w:val="false"/>
              <w:ind w:start="-180" w:end="0"/>
              <w:jc w:val="end"/>
              <w:rPr>
                <w:rFonts w:ascii="Arial" w:hAnsi="Arial" w:cs="Arial"/>
                <w:sz w:val="18"/>
                <w:szCs w:val="20"/>
              </w:rPr>
            </w:pPr>
            <w:r>
              <w:rPr>
                <w:rFonts w:cs="Arial" w:ascii="Arial" w:hAnsi="Arial"/>
                <w:sz w:val="18"/>
                <w:szCs w:val="20"/>
              </w:rPr>
            </w:r>
          </w:p>
        </w:tc>
        <w:tc>
          <w:tcPr>
            <w:tcW w:w="6045" w:type="dxa"/>
            <w:tcBorders/>
          </w:tcPr>
          <w:p>
            <w:pPr>
              <w:pStyle w:val="Normal"/>
              <w:tabs>
                <w:tab w:val="clear" w:pos="720"/>
                <w:tab w:val="left" w:pos="540" w:leader="none"/>
              </w:tabs>
              <w:overflowPunct w:val="false"/>
              <w:autoSpaceDE w:val="false"/>
              <w:snapToGrid w:val="false"/>
              <w:rPr>
                <w:rFonts w:ascii="Arial" w:hAnsi="Arial" w:cs="Arial"/>
                <w:sz w:val="18"/>
                <w:szCs w:val="20"/>
              </w:rPr>
            </w:pPr>
            <w:r>
              <w:rPr>
                <w:rFonts w:cs="Arial" w:ascii="Arial" w:hAnsi="Arial"/>
                <w:sz w:val="18"/>
                <w:szCs w:val="20"/>
              </w:rPr>
            </w:r>
          </w:p>
        </w:tc>
        <w:tc>
          <w:tcPr>
            <w:tcW w:w="990" w:type="dxa"/>
            <w:tcBorders/>
          </w:tcPr>
          <w:p>
            <w:pPr>
              <w:pStyle w:val="Normal"/>
              <w:tabs>
                <w:tab w:val="clear" w:pos="720"/>
                <w:tab w:val="left" w:pos="540" w:leader="none"/>
              </w:tabs>
              <w:overflowPunct w:val="false"/>
              <w:autoSpaceDE w:val="false"/>
              <w:snapToGrid w:val="false"/>
              <w:ind w:start="-180" w:end="0"/>
              <w:rPr>
                <w:rFonts w:ascii="Arial" w:hAnsi="Arial" w:cs="Arial"/>
                <w:sz w:val="18"/>
                <w:szCs w:val="20"/>
              </w:rPr>
            </w:pPr>
            <w:r>
              <w:rPr>
                <w:rFonts w:cs="Arial" w:ascii="Arial" w:hAnsi="Arial"/>
                <w:sz w:val="18"/>
                <w:szCs w:val="20"/>
              </w:rPr>
            </w:r>
          </w:p>
        </w:tc>
        <w:tc>
          <w:tcPr>
            <w:tcW w:w="2965" w:type="dxa"/>
            <w:tcBorders/>
          </w:tcPr>
          <w:p>
            <w:pPr>
              <w:pStyle w:val="Normal"/>
              <w:tabs>
                <w:tab w:val="clear" w:pos="720"/>
                <w:tab w:val="left" w:pos="540" w:leader="none"/>
              </w:tabs>
              <w:overflowPunct w:val="false"/>
              <w:autoSpaceDE w:val="false"/>
              <w:snapToGrid w:val="false"/>
              <w:rPr>
                <w:rFonts w:ascii="Arial" w:hAnsi="Arial" w:cs="Arial"/>
                <w:sz w:val="18"/>
                <w:szCs w:val="20"/>
              </w:rPr>
            </w:pPr>
            <w:r>
              <w:rPr>
                <w:rFonts w:cs="Arial" w:ascii="Arial" w:hAnsi="Arial"/>
                <w:sz w:val="18"/>
                <w:szCs w:val="20"/>
              </w:rPr>
            </w:r>
          </w:p>
        </w:tc>
      </w:tr>
      <w:tr>
        <w:trPr>
          <w:trHeight w:val="300" w:hRule="atLeast"/>
        </w:trPr>
        <w:tc>
          <w:tcPr>
            <w:tcW w:w="708" w:type="dxa"/>
            <w:tcBorders/>
          </w:tcPr>
          <w:p>
            <w:pPr>
              <w:pStyle w:val="Normal"/>
              <w:tabs>
                <w:tab w:val="clear" w:pos="720"/>
                <w:tab w:val="left" w:pos="540" w:leader="none"/>
              </w:tabs>
              <w:overflowPunct w:val="false"/>
              <w:autoSpaceDE w:val="false"/>
              <w:ind w:start="-180" w:end="0"/>
              <w:jc w:val="end"/>
              <w:rPr>
                <w:rFonts w:ascii="Arial" w:hAnsi="Arial" w:cs="Arial"/>
                <w:sz w:val="16"/>
                <w:szCs w:val="20"/>
              </w:rPr>
            </w:pPr>
            <w:r>
              <w:rPr>
                <w:sz w:val="16"/>
              </w:rPr>
              <w:t>From:</w:t>
            </w:r>
          </w:p>
        </w:tc>
        <w:tc>
          <w:tcPr>
            <w:tcW w:w="6045" w:type="dxa"/>
            <w:tcBorders/>
          </w:tcPr>
          <w:p>
            <w:pPr>
              <w:pStyle w:val="From"/>
              <w:rPr/>
            </w:pPr>
            <w:r>
              <w:rPr/>
              <w:t>Howard A. Fromer</w:t>
            </w:r>
          </w:p>
        </w:tc>
        <w:tc>
          <w:tcPr>
            <w:tcW w:w="990" w:type="dxa"/>
            <w:tcBorders/>
          </w:tcPr>
          <w:p>
            <w:pPr>
              <w:pStyle w:val="Normal"/>
              <w:tabs>
                <w:tab w:val="clear" w:pos="720"/>
                <w:tab w:val="left" w:pos="540" w:leader="none"/>
              </w:tabs>
              <w:overflowPunct w:val="false"/>
              <w:autoSpaceDE w:val="false"/>
              <w:ind w:start="-180" w:end="0"/>
              <w:jc w:val="end"/>
              <w:rPr>
                <w:rFonts w:ascii="Arial" w:hAnsi="Arial" w:cs="Arial"/>
                <w:sz w:val="16"/>
                <w:szCs w:val="20"/>
              </w:rPr>
            </w:pPr>
            <w:r>
              <w:rPr>
                <w:sz w:val="16"/>
              </w:rPr>
              <w:t>Department:</w:t>
            </w:r>
          </w:p>
        </w:tc>
        <w:tc>
          <w:tcPr>
            <w:tcW w:w="2965" w:type="dxa"/>
            <w:tcBorders/>
          </w:tcPr>
          <w:p>
            <w:pPr>
              <w:pStyle w:val="Department"/>
              <w:rPr/>
            </w:pPr>
            <w:r>
              <w:rPr/>
              <w:t>Government Affairs</w:t>
            </w:r>
          </w:p>
        </w:tc>
      </w:tr>
      <w:tr>
        <w:trPr>
          <w:trHeight w:val="216" w:hRule="atLeast"/>
        </w:trPr>
        <w:tc>
          <w:tcPr>
            <w:tcW w:w="708" w:type="dxa"/>
            <w:tcBorders/>
          </w:tcPr>
          <w:p>
            <w:pPr>
              <w:pStyle w:val="Normal"/>
              <w:tabs>
                <w:tab w:val="clear" w:pos="720"/>
                <w:tab w:val="left" w:pos="540" w:leader="none"/>
              </w:tabs>
              <w:overflowPunct w:val="false"/>
              <w:autoSpaceDE w:val="false"/>
              <w:snapToGrid w:val="false"/>
              <w:ind w:start="-180" w:end="0"/>
              <w:jc w:val="end"/>
              <w:rPr>
                <w:rFonts w:ascii="Arial" w:hAnsi="Arial" w:cs="Arial"/>
                <w:sz w:val="18"/>
                <w:szCs w:val="20"/>
              </w:rPr>
            </w:pPr>
            <w:r>
              <w:rPr>
                <w:rFonts w:cs="Arial" w:ascii="Arial" w:hAnsi="Arial"/>
                <w:sz w:val="18"/>
                <w:szCs w:val="20"/>
              </w:rPr>
            </w:r>
          </w:p>
        </w:tc>
        <w:tc>
          <w:tcPr>
            <w:tcW w:w="6045" w:type="dxa"/>
            <w:tcBorders/>
          </w:tcPr>
          <w:p>
            <w:pPr>
              <w:pStyle w:val="Normal"/>
              <w:tabs>
                <w:tab w:val="clear" w:pos="720"/>
                <w:tab w:val="left" w:pos="540" w:leader="none"/>
              </w:tabs>
              <w:overflowPunct w:val="false"/>
              <w:autoSpaceDE w:val="false"/>
              <w:snapToGrid w:val="false"/>
              <w:rPr>
                <w:rFonts w:ascii="Arial" w:hAnsi="Arial" w:cs="Arial"/>
                <w:sz w:val="18"/>
                <w:szCs w:val="20"/>
              </w:rPr>
            </w:pPr>
            <w:r>
              <w:rPr>
                <w:rFonts w:cs="Arial" w:ascii="Arial" w:hAnsi="Arial"/>
                <w:sz w:val="18"/>
                <w:szCs w:val="20"/>
              </w:rPr>
            </w:r>
          </w:p>
        </w:tc>
        <w:tc>
          <w:tcPr>
            <w:tcW w:w="990" w:type="dxa"/>
            <w:tcBorders/>
          </w:tcPr>
          <w:p>
            <w:pPr>
              <w:pStyle w:val="Normal"/>
              <w:tabs>
                <w:tab w:val="clear" w:pos="720"/>
                <w:tab w:val="left" w:pos="540" w:leader="none"/>
              </w:tabs>
              <w:overflowPunct w:val="false"/>
              <w:autoSpaceDE w:val="false"/>
              <w:snapToGrid w:val="false"/>
              <w:ind w:start="-180" w:end="0"/>
              <w:rPr>
                <w:rFonts w:ascii="Arial" w:hAnsi="Arial" w:cs="Arial"/>
                <w:sz w:val="18"/>
                <w:szCs w:val="20"/>
              </w:rPr>
            </w:pPr>
            <w:r>
              <w:rPr>
                <w:rFonts w:cs="Arial" w:ascii="Arial" w:hAnsi="Arial"/>
                <w:sz w:val="18"/>
                <w:szCs w:val="20"/>
              </w:rPr>
            </w:r>
          </w:p>
        </w:tc>
        <w:tc>
          <w:tcPr>
            <w:tcW w:w="2965" w:type="dxa"/>
            <w:tcBorders/>
          </w:tcPr>
          <w:p>
            <w:pPr>
              <w:pStyle w:val="Normal"/>
              <w:tabs>
                <w:tab w:val="clear" w:pos="720"/>
                <w:tab w:val="left" w:pos="540" w:leader="none"/>
              </w:tabs>
              <w:overflowPunct w:val="false"/>
              <w:autoSpaceDE w:val="false"/>
              <w:snapToGrid w:val="false"/>
              <w:rPr>
                <w:rFonts w:ascii="Arial" w:hAnsi="Arial" w:cs="Arial"/>
                <w:sz w:val="18"/>
                <w:szCs w:val="20"/>
              </w:rPr>
            </w:pPr>
            <w:r>
              <w:rPr>
                <w:rFonts w:cs="Arial" w:ascii="Arial" w:hAnsi="Arial"/>
                <w:sz w:val="18"/>
                <w:szCs w:val="20"/>
              </w:rPr>
            </w:r>
          </w:p>
        </w:tc>
      </w:tr>
      <w:tr>
        <w:trPr>
          <w:trHeight w:val="600" w:hRule="atLeast"/>
        </w:trPr>
        <w:tc>
          <w:tcPr>
            <w:tcW w:w="708" w:type="dxa"/>
            <w:tcBorders>
              <w:bottom w:val="single" w:sz="12" w:space="0" w:color="000000"/>
            </w:tcBorders>
          </w:tcPr>
          <w:p>
            <w:pPr>
              <w:pStyle w:val="Normal"/>
              <w:tabs>
                <w:tab w:val="clear" w:pos="720"/>
                <w:tab w:val="left" w:pos="540" w:leader="none"/>
              </w:tabs>
              <w:overflowPunct w:val="false"/>
              <w:autoSpaceDE w:val="false"/>
              <w:ind w:start="-180" w:end="0"/>
              <w:jc w:val="end"/>
              <w:rPr>
                <w:rFonts w:ascii="Arial" w:hAnsi="Arial" w:cs="Arial"/>
                <w:sz w:val="16"/>
                <w:szCs w:val="20"/>
              </w:rPr>
            </w:pPr>
            <w:r>
              <w:rPr>
                <w:sz w:val="16"/>
              </w:rPr>
              <w:t>Subject:</w:t>
            </w:r>
          </w:p>
        </w:tc>
        <w:tc>
          <w:tcPr>
            <w:tcW w:w="6045" w:type="dxa"/>
            <w:tcBorders>
              <w:bottom w:val="single" w:sz="12" w:space="0" w:color="000000"/>
            </w:tcBorders>
          </w:tcPr>
          <w:p>
            <w:pPr>
              <w:pStyle w:val="Subject"/>
              <w:rPr/>
            </w:pPr>
            <w:r>
              <w:rPr/>
              <w:t>Memo and Talking Points for Pataki Fundraiser</w:t>
            </w:r>
          </w:p>
        </w:tc>
        <w:tc>
          <w:tcPr>
            <w:tcW w:w="990" w:type="dxa"/>
            <w:tcBorders>
              <w:bottom w:val="single" w:sz="12" w:space="0" w:color="000000"/>
            </w:tcBorders>
          </w:tcPr>
          <w:p>
            <w:pPr>
              <w:pStyle w:val="Normal"/>
              <w:tabs>
                <w:tab w:val="clear" w:pos="720"/>
                <w:tab w:val="left" w:pos="540" w:leader="none"/>
              </w:tabs>
              <w:overflowPunct w:val="false"/>
              <w:autoSpaceDE w:val="false"/>
              <w:ind w:start="-180" w:end="0"/>
              <w:jc w:val="end"/>
              <w:rPr>
                <w:rFonts w:ascii="Arial" w:hAnsi="Arial" w:cs="Arial"/>
                <w:sz w:val="16"/>
                <w:szCs w:val="20"/>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p>
    <w:p>
      <w:pPr>
        <w:pStyle w:val="Body"/>
        <w:rPr/>
      </w:pPr>
      <w:r>
        <w:rPr>
          <w:rFonts w:cs="Times New Roman" w:ascii="Times New Roman" w:hAnsi="Times New Roman"/>
          <w:sz w:val="24"/>
        </w:rPr>
        <w:t>As you are aware, Governor Pataki is holding a fundraiser in Houston on Monday, June 4</w:t>
      </w:r>
      <w:r>
        <w:rPr>
          <w:rFonts w:cs="Times New Roman" w:ascii="Times New Roman" w:hAnsi="Times New Roman"/>
          <w:sz w:val="24"/>
          <w:vertAlign w:val="superscript"/>
        </w:rPr>
        <w:t>th</w:t>
      </w:r>
      <w:r>
        <w:rPr>
          <w:rFonts w:cs="Times New Roman" w:ascii="Times New Roman" w:hAnsi="Times New Roman"/>
          <w:sz w:val="24"/>
        </w:rPr>
        <w:t>. We have arranged for Jeff Skilling to co-chair this event along with Bill Wise from El Paso. The event consists of a reception at the home of Judi and Jack Holmes in River Oaks from 5 to 6:30, followed by a private dinner for no more than 15 people with Governor Pataki at the River Oaks Grill. Enron can send as many people as it likes to the reception. I have confirmed with an associate of Elizabeth Blakemore, the fundraiser organizing the event, that Bill Wise will be in attendance and that Governor Perry will be attending the reception, but not the dinner.</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Gov. Pataki’s second terms ends in 2002.  Although he has not formally announced his candidacy, all signs indicate that he will seek a third term, notwithstanding his original campaign pledge to impose a two-term limit.  His Democratic opponents are State Comptroller Carl McCall and former HUD Secretary Andrew Cuomo. Carl McCall has already issued a report criticizing Gov. Pataki’s energy policies.  Specifically, McCall criticized Pataki for what he called four years of  “misguided implementation of deregulation” which he blames as the cause of NY’s energy prices being 70 percent above the national average. Although not going as far as to advocate re-regulation, McCall stated, “deregulation in New York is a good idea done poorly.”</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For background purposes, set out below is a brief summary of New York’s efforts to date to open up its electric markets to competition, followed by some suggested talking points for Jeff.</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b/>
          <w:bCs/>
          <w:sz w:val="24"/>
          <w:u w:val="single"/>
        </w:rPr>
        <w:t>Background</w:t>
      </w:r>
    </w:p>
    <w:p>
      <w:pPr>
        <w:pStyle w:val="Body"/>
        <w:rPr>
          <w:rFonts w:ascii="Times New Roman" w:hAnsi="Times New Roman" w:cs="Times New Roman"/>
          <w:b/>
          <w:bCs/>
          <w:sz w:val="24"/>
          <w:u w:val="single"/>
        </w:rPr>
      </w:pPr>
      <w:r>
        <w:rPr>
          <w:rFonts w:cs="Times New Roman" w:ascii="Times New Roman" w:hAnsi="Times New Roman"/>
          <w:b/>
          <w:bCs/>
          <w:sz w:val="24"/>
          <w:u w:val="single"/>
        </w:rPr>
      </w:r>
    </w:p>
    <w:p>
      <w:pPr>
        <w:pStyle w:val="Normal"/>
        <w:autoSpaceDE w:val="false"/>
        <w:ind w:start="72" w:end="0"/>
        <w:rPr/>
      </w:pPr>
      <w:r>
        <w:rPr/>
        <w:t>Following Governor Pataki’s election in 1994, New York became one of the earliest States to embrace electric retail competition, although it has done so without the benefit of any legislation.</w:t>
      </w:r>
      <w:r>
        <w:rPr>
          <w:rStyle w:val="FootnoteCharacters"/>
          <w:rStyle w:val="FootnoteReference"/>
        </w:rPr>
        <w:footnoteReference w:id="2"/>
      </w:r>
      <w:r>
        <w:rPr/>
        <w:t xml:space="preserve"> Instead, the NYPSC, whose members are appointed by the Governor, has used its administrative powers under existing law to push the competitive agenda, starting with its landmark Order in 1996 directing the investor owned utilities in the state to come forward with restructuring plans. At the same time, the utilities were directed to implement a competitive wholesale market, and this led to the creation of the NYISO, which went live in November 1999, as the successor to the former New York Power Pool, which had operated the state’s grid and bulk power market since the 1970s.</w:t>
      </w:r>
      <w:r>
        <w:rPr>
          <w:rStyle w:val="FootnoteCharacters"/>
          <w:rStyle w:val="FootnoteReference"/>
        </w:rPr>
        <w:footnoteReference w:id="3"/>
      </w:r>
      <w:r>
        <w:rPr/>
        <w:t xml:space="preserve">  In response to the 1996 Order, the utilities eventually entered into comprehensive multi-year settlements that contained individually negotiated retail access phase-in schedules (now virtually all complete), shopping credits (in NY, these are referred to as “back-out” rates, since the credit is the amount that is subtracted, or backed out, from the customer’s bundled rate if the customer physically buys commodity from a competitor), and a requirement to divest virtually all fossil generation. (Fossil plant divestiture is essentially complete, and resulted in huge gains for the utilities over book value, most of which is being returned to customers as offsets to other stranded costs or reductions in distribution rates. Further, even the nuclear facilities are being divested, and they too are bringing in far more than had been originally contemplated by the PSC.)  </w:t>
      </w:r>
    </w:p>
    <w:p>
      <w:pPr>
        <w:pStyle w:val="Normal"/>
        <w:autoSpaceDE w:val="false"/>
        <w:ind w:start="72" w:end="0"/>
        <w:rPr/>
      </w:pPr>
      <w:r>
        <w:rPr/>
      </w:r>
    </w:p>
    <w:p>
      <w:pPr>
        <w:pStyle w:val="BodyTextIndent2"/>
        <w:rPr/>
      </w:pPr>
      <w:r>
        <w:rPr/>
        <w:t>The wholesale markets have been plagued with problems since their startup. Numerous complaints and protests have been filed at FERC by marketers (including Enron), generators and the utilities regarding various market design flaws. In addition, wholesale prices have increased significantly over the past year (average statewide wholesale price during 2000 was in the mid-fifties), although an analysis by the ISO’s independent market advisor attributed those runups to fuel price increases and the loss of a 1,000 MW nuclear facility for most of 2000. The ISO, at the urging of the Pataki administration, has responded to these problems and the fear of further price runups by adopting a number of Emergency Corrective Actions, and a series of programs that interfere with the setting of prices in the market including: bid caps for certain ancillary markets (specifically the 10 minute non-spin market); bid caps for the energy markets ($1,000.00 per MWH); a “circuit breaker” proposal that, if approved by FERC, would go into effect this summer and would mitigate day-ahead bids that exceed certain thresholds; penalty and public disclosure provisions; and Temporary Extraordinary Procedures authority, which was authorized back in 1999 to deal with market startup glitches during the first 90 days but has remained in effect since then and was just extended again by FERC through October 2001.</w:t>
      </w:r>
    </w:p>
    <w:p>
      <w:pPr>
        <w:pStyle w:val="Normal"/>
        <w:autoSpaceDE w:val="false"/>
        <w:ind w:start="72" w:end="0"/>
        <w:rPr/>
      </w:pPr>
      <w:r>
        <w:rPr/>
      </w:r>
    </w:p>
    <w:p>
      <w:pPr>
        <w:pStyle w:val="Normal"/>
        <w:autoSpaceDE w:val="false"/>
        <w:ind w:start="72" w:end="0"/>
        <w:rPr/>
      </w:pPr>
      <w:r>
        <w:rPr/>
        <w:t xml:space="preserve">Retail access has also been largely unsuccessful to date, in large part because the back-out credits were set too low (often below wholesale prices) and denied competitors a chance to recover their commodity and other costs of doing business. However, the PSC has begun to address many of these problems. Two years ago, it adopted uniform business rules in an effort to simplify the process of signing up customers in the state. It has also issued orders making billing and metering services competitive, and directed that the back-out credits for these services be set on the basis of the utility’s long-run avoided costs. Proceedings are underway to determine the actual back-out credits. The PSC has also ordered that EDI be implemented in New York, and an ongoing proceeding to establish these requirements is nearing completion. Further, the PSC last year initiated a proceeding to examine the “end state” of competition, including critical issues such as what should be the future role of regulated utilities in a competitive world (i.e., should they exit the merchant function) and should the provider of last resort function be made competitive, and when and how. </w:t>
      </w:r>
    </w:p>
    <w:p>
      <w:pPr>
        <w:pStyle w:val="Normal"/>
        <w:autoSpaceDE w:val="false"/>
        <w:ind w:start="72" w:end="0"/>
        <w:rPr/>
      </w:pPr>
      <w:r>
        <w:rPr/>
      </w:r>
    </w:p>
    <w:p>
      <w:pPr>
        <w:pStyle w:val="BodyTextIndent"/>
        <w:rPr>
          <w:rFonts w:ascii="Times New Roman" w:hAnsi="Times New Roman" w:cs="Times New Roman"/>
          <w:sz w:val="24"/>
        </w:rPr>
      </w:pPr>
      <w:r>
        <w:rPr>
          <w:rFonts w:cs="Times New Roman" w:ascii="Times New Roman" w:hAnsi="Times New Roman"/>
          <w:sz w:val="24"/>
        </w:rPr>
        <w:t xml:space="preserve">With respect to this summer, New York is likely to experience price spikes during peak demand periods.  While far less likely, New York could encounter reliability problems similar to those experienced in California should there be a prolonged and major heat wave. New York does have more reserves relative to demand, and has put in place a number of demand response programs and obtained some emergency generation. With respect to prices, at least in upstate NY, the PSC has insulated most customers from market prices through rate caps. The exception is in NYC, where Con Ed is allowed to flow through market prices. Con Ed is the most important of the utility players politically, and they have been getting tremendous support from both the State and NYC administrations for the adoption of various market intervention mechanisms to protect customers from price volatility this summer. </w:t>
      </w:r>
    </w:p>
    <w:p>
      <w:pPr>
        <w:pStyle w:val="Normal"/>
        <w:autoSpaceDE w:val="false"/>
        <w:ind w:start="72" w:end="0"/>
        <w:rPr>
          <w:rFonts w:ascii="Times New Roman" w:hAnsi="Times New Roman" w:cs="Times New Roman"/>
          <w:sz w:val="24"/>
        </w:rPr>
      </w:pPr>
      <w:r>
        <w:rPr>
          <w:rFonts w:cs="Times New Roman"/>
          <w:sz w:val="24"/>
        </w:rPr>
      </w:r>
    </w:p>
    <w:p>
      <w:pPr>
        <w:pStyle w:val="Heading1"/>
        <w:rPr>
          <w:rFonts w:ascii="Times New Roman" w:hAnsi="Times New Roman" w:cs="Times New Roman"/>
        </w:rPr>
      </w:pPr>
      <w:r>
        <w:rPr>
          <w:rFonts w:cs="Times New Roman" w:ascii="Times New Roman" w:hAnsi="Times New Roman"/>
        </w:rPr>
        <w:t>Talking Points</w:t>
      </w:r>
    </w:p>
    <w:p>
      <w:pPr>
        <w:pStyle w:val="Normal"/>
        <w:autoSpaceDE w:val="false"/>
        <w:ind w:start="72" w:end="0"/>
        <w:rPr>
          <w:rFonts w:ascii="Times New Roman" w:hAnsi="Times New Roman" w:cs="Times New Roman"/>
        </w:rPr>
      </w:pPr>
      <w:r>
        <w:rPr>
          <w:rFonts w:cs="Times New Roman"/>
        </w:rPr>
      </w:r>
    </w:p>
    <w:p>
      <w:pPr>
        <w:pStyle w:val="Normal"/>
        <w:numPr>
          <w:ilvl w:val="0"/>
          <w:numId w:val="3"/>
        </w:numPr>
        <w:autoSpaceDE w:val="false"/>
        <w:rPr>
          <w:b/>
          <w:bCs/>
        </w:rPr>
      </w:pPr>
      <w:r>
        <w:rPr>
          <w:b/>
          <w:bCs/>
        </w:rPr>
        <w:t>New supply is needed in NYS, especially in NYC, and Enron wants to help</w:t>
      </w:r>
      <w:r>
        <w:rPr/>
        <w:t>. The Governor’s assistance would be useful in getting access to the state-owned Harlem River Yard site in the Bronx that has been leased to Francesco Galesi, a major contributor/supporter of the Governor. In 1998, Enron proposed a 480 MW project at that location (Millennium Project), but has been unable to get Galesi to sub-lease us a portion of the site for this development. Two acres at the site were made available to the NY Power Authority this winter for two of their small “temporary” emergency generators, and our project could replace those units with more efficient generation.</w:t>
      </w:r>
    </w:p>
    <w:p>
      <w:pPr>
        <w:pStyle w:val="Normal"/>
        <w:autoSpaceDE w:val="false"/>
        <w:rPr>
          <w:b/>
          <w:bCs/>
        </w:rPr>
      </w:pPr>
      <w:r>
        <w:rPr>
          <w:b/>
          <w:bCs/>
        </w:rPr>
      </w:r>
    </w:p>
    <w:p>
      <w:pPr>
        <w:pStyle w:val="Normal"/>
        <w:numPr>
          <w:ilvl w:val="0"/>
          <w:numId w:val="3"/>
        </w:numPr>
        <w:autoSpaceDE w:val="false"/>
        <w:rPr>
          <w:b/>
          <w:bCs/>
        </w:rPr>
      </w:pPr>
      <w:r>
        <w:rPr>
          <w:b/>
          <w:bCs/>
        </w:rPr>
        <w:t>New York must remove barriers that prevent the flow of cheaper power supplies from low-cost to high-cost states.</w:t>
      </w:r>
    </w:p>
    <w:p>
      <w:pPr>
        <w:pStyle w:val="Normal"/>
        <w:autoSpaceDE w:val="false"/>
        <w:rPr>
          <w:b/>
          <w:bCs/>
        </w:rPr>
      </w:pPr>
      <w:r>
        <w:rPr>
          <w:b/>
          <w:bCs/>
        </w:rPr>
      </w:r>
    </w:p>
    <w:p>
      <w:pPr>
        <w:pStyle w:val="Normal"/>
        <w:numPr>
          <w:ilvl w:val="1"/>
          <w:numId w:val="3"/>
        </w:numPr>
        <w:autoSpaceDE w:val="false"/>
        <w:rPr>
          <w:b/>
          <w:bCs/>
        </w:rPr>
      </w:pPr>
      <w:r>
        <w:rPr>
          <w:b/>
          <w:bCs/>
        </w:rPr>
        <w:t>NY should become part of one regional Northeast market that includes PJM and New England</w:t>
      </w:r>
      <w:r>
        <w:rPr/>
        <w:t>. The three Independent System Operators in the Northeast are spending more than $300 million a year to administer their markets. This is wasteful and inefficient, and results in different rules being set in each market that often conflict with each other. The result is less energy moving across borders even when such transactions are clearly cost effective. NYPSC has opposed merging the ISOs.</w:t>
      </w:r>
    </w:p>
    <w:p>
      <w:pPr>
        <w:pStyle w:val="Normal"/>
        <w:numPr>
          <w:ilvl w:val="1"/>
          <w:numId w:val="3"/>
        </w:numPr>
        <w:autoSpaceDE w:val="false"/>
        <w:rPr>
          <w:b/>
          <w:bCs/>
        </w:rPr>
      </w:pPr>
      <w:r>
        <w:rPr>
          <w:b/>
          <w:bCs/>
        </w:rPr>
        <w:t>NY should keep the pressure on Ontario to open up its markets to competition</w:t>
      </w:r>
      <w:r>
        <w:rPr/>
        <w:t xml:space="preserve">. There is great </w:t>
      </w:r>
      <w:r>
        <w:rPr>
          <w:color w:val="000000"/>
          <w:szCs w:val="20"/>
        </w:rPr>
        <w:t xml:space="preserve">value to both jurisdictions for interregional trade in power (particularly because Ontario winter peaks and NY summer  peaks, therefore a "natural hedge"). OPG was given a waiver from the reciprocity requirements of the NYISO tariff on the basis of assurances (from David Goulding, CEO of the IMO) that the Ontario market would open this year; Governor needs to state that NY expects Ontario to live up to those assurances.   </w:t>
      </w:r>
    </w:p>
    <w:p>
      <w:pPr>
        <w:pStyle w:val="Normal"/>
        <w:autoSpaceDE w:val="false"/>
        <w:rPr>
          <w:b/>
          <w:bCs/>
        </w:rPr>
      </w:pPr>
      <w:r>
        <w:rPr>
          <w:b/>
          <w:bCs/>
        </w:rPr>
      </w:r>
    </w:p>
    <w:p>
      <w:pPr>
        <w:pStyle w:val="Normal"/>
        <w:numPr>
          <w:ilvl w:val="0"/>
          <w:numId w:val="3"/>
        </w:numPr>
        <w:autoSpaceDE w:val="false"/>
        <w:rPr/>
      </w:pPr>
      <w:r>
        <w:rPr>
          <w:b/>
          <w:bCs/>
        </w:rPr>
        <w:t>Accelerate Retail Access Efforts</w:t>
      </w:r>
      <w:r>
        <w:rPr/>
        <w:t xml:space="preserve">. Despite more than three years of retail access programs in NY, relatively few customers have switched. Retail choice exists in theory only. NY needs to finish the job it started in 1996. </w:t>
      </w:r>
    </w:p>
    <w:p>
      <w:pPr>
        <w:pStyle w:val="Normal"/>
        <w:numPr>
          <w:ilvl w:val="1"/>
          <w:numId w:val="3"/>
        </w:numPr>
        <w:autoSpaceDE w:val="false"/>
        <w:rPr/>
      </w:pPr>
      <w:r>
        <w:rPr>
          <w:b/>
          <w:bCs/>
        </w:rPr>
        <w:t>NY needs to get the utilities out of the merchant function</w:t>
      </w:r>
      <w:r>
        <w:rPr/>
        <w:t>. The NYPSC has started down this path but needs to greatly accelerate its timetable (PSC Staff has suggested no earlier than 2005).</w:t>
      </w:r>
    </w:p>
    <w:p>
      <w:pPr>
        <w:pStyle w:val="Normal"/>
        <w:numPr>
          <w:ilvl w:val="1"/>
          <w:numId w:val="3"/>
        </w:numPr>
        <w:autoSpaceDE w:val="false"/>
        <w:rPr/>
      </w:pPr>
      <w:r>
        <w:rPr>
          <w:b/>
          <w:bCs/>
        </w:rPr>
        <w:t>In interim, push utilities to pursue risk management/hedging strategies instead of relying on spot markets</w:t>
      </w:r>
      <w:r>
        <w:rPr/>
        <w:t>. Con Ed has done a poor job hedging its supplies, in large part because they have an automatic pass through of prices. Other utilities (NYSEG) have gone to the other extreme and proposed seven year fixed price options. Both approaches are bad for competitive markets.</w:t>
      </w:r>
    </w:p>
    <w:p>
      <w:pPr>
        <w:pStyle w:val="Normal"/>
        <w:autoSpaceDE w:val="false"/>
        <w:rPr/>
      </w:pPr>
      <w:r>
        <w:rPr/>
      </w:r>
    </w:p>
    <w:p>
      <w:pPr>
        <w:pStyle w:val="Normal"/>
        <w:numPr>
          <w:ilvl w:val="0"/>
          <w:numId w:val="3"/>
        </w:numPr>
        <w:autoSpaceDE w:val="false"/>
        <w:rPr/>
      </w:pPr>
      <w:r>
        <w:rPr>
          <w:b/>
          <w:bCs/>
        </w:rPr>
        <w:t xml:space="preserve">Price Caps Don’t Work. </w:t>
      </w:r>
      <w:r>
        <w:rPr/>
        <w:t>Price caps reduce supply and create shortages. NY needs to avoid repeating California’s mistakes or it will end up with California’s problems. Price caps (and related programs)</w:t>
      </w:r>
    </w:p>
    <w:p>
      <w:pPr>
        <w:pStyle w:val="Normal"/>
        <w:numPr>
          <w:ilvl w:val="1"/>
          <w:numId w:val="3"/>
        </w:numPr>
        <w:autoSpaceDE w:val="false"/>
        <w:rPr/>
      </w:pPr>
      <w:r>
        <w:rPr/>
        <w:t>Drive away energy supplies</w:t>
      </w:r>
    </w:p>
    <w:p>
      <w:pPr>
        <w:pStyle w:val="Normal"/>
        <w:numPr>
          <w:ilvl w:val="1"/>
          <w:numId w:val="3"/>
        </w:numPr>
        <w:autoSpaceDE w:val="false"/>
        <w:rPr/>
      </w:pPr>
      <w:r>
        <w:rPr/>
        <w:t>Deter competitive entry to the marketplace</w:t>
      </w:r>
    </w:p>
    <w:p>
      <w:pPr>
        <w:pStyle w:val="Normal"/>
        <w:numPr>
          <w:ilvl w:val="1"/>
          <w:numId w:val="3"/>
        </w:numPr>
        <w:autoSpaceDE w:val="false"/>
        <w:rPr/>
      </w:pPr>
      <w:r>
        <w:rPr/>
        <w:t>Discourage investments in new plants</w:t>
      </w:r>
    </w:p>
    <w:p>
      <w:pPr>
        <w:pStyle w:val="Normal"/>
        <w:numPr>
          <w:ilvl w:val="1"/>
          <w:numId w:val="3"/>
        </w:numPr>
        <w:autoSpaceDE w:val="false"/>
        <w:rPr/>
      </w:pPr>
      <w:r>
        <w:rPr/>
        <w:t>Encourage consumption</w:t>
      </w:r>
    </w:p>
    <w:p>
      <w:pPr>
        <w:pStyle w:val="Normal"/>
        <w:autoSpaceDE w:val="false"/>
        <w:ind w:start="1152" w:end="0"/>
        <w:rPr/>
      </w:pPr>
      <w:r>
        <w:rPr/>
      </w:r>
    </w:p>
    <w:p>
      <w:pPr>
        <w:pStyle w:val="Body"/>
        <w:numPr>
          <w:ilvl w:val="0"/>
          <w:numId w:val="2"/>
        </w:numPr>
        <w:rPr>
          <w:rFonts w:ascii="Times New Roman" w:hAnsi="Times New Roman" w:cs="Times New Roman"/>
          <w:sz w:val="24"/>
        </w:rPr>
      </w:pPr>
      <w:r>
        <w:rPr>
          <w:rFonts w:cs="Times New Roman" w:ascii="Times New Roman" w:hAnsi="Times New Roman"/>
          <w:b/>
          <w:bCs/>
          <w:sz w:val="24"/>
        </w:rPr>
        <w:t>NY Can Benefit From California’s Problems</w:t>
      </w:r>
      <w:r>
        <w:rPr>
          <w:rFonts w:cs="Times New Roman" w:ascii="Times New Roman" w:hAnsi="Times New Roman"/>
          <w:sz w:val="24"/>
        </w:rPr>
        <w:t>. NY has a rare opportunity to attract investment in the State if the Administration re-positions itself as one committed to open and free competitive markets rather than the price control mentality embraced by California’s leaders. At the present time, NY is not viewed as having truly embraced competitive markets.</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t>CC:</w:t>
        <w:tab/>
        <w:t>Jim Steffes</w:t>
      </w:r>
    </w:p>
    <w:p>
      <w:pPr>
        <w:pStyle w:val="Body"/>
        <w:rPr>
          <w:rFonts w:ascii="Times New Roman" w:hAnsi="Times New Roman" w:cs="Times New Roman"/>
          <w:sz w:val="24"/>
        </w:rPr>
      </w:pPr>
      <w:r>
        <w:rPr>
          <w:rFonts w:cs="Times New Roman" w:ascii="Times New Roman" w:hAnsi="Times New Roman"/>
          <w:sz w:val="24"/>
        </w:rPr>
        <w:tab/>
        <w:t>Steve Montovano</w:t>
      </w:r>
    </w:p>
    <w:p>
      <w:pPr>
        <w:pStyle w:val="CopyList"/>
        <w:rPr>
          <w:rFonts w:ascii="Times New Roman" w:hAnsi="Times New Roman" w:cs="Arial"/>
          <w:sz w:val="24"/>
        </w:rPr>
      </w:pPr>
      <w:r>
        <w:rPr>
          <w:rFonts w:cs="Arial" w:ascii="Times New Roman" w:hAnsi="Times New Roman"/>
          <w:sz w:val="24"/>
        </w:rPr>
      </w:r>
    </w:p>
    <w:p>
      <w:pPr>
        <w:pStyle w:val="CopyList"/>
        <w:rPr>
          <w:rFonts w:cs="Arial"/>
        </w:rPr>
      </w:pPr>
      <w:r>
        <w:rPr>
          <w:rFonts w:cs="Arial"/>
        </w:rPr>
      </w:r>
    </w:p>
    <w:p>
      <w:pPr>
        <w:pStyle w:val="CopyList"/>
        <w:rPr>
          <w:rFonts w:cs="Arial"/>
        </w:rPr>
      </w:pPr>
      <w:r>
        <w:rPr>
          <w:rFonts w:cs="Arial"/>
        </w:rPr>
      </w:r>
    </w:p>
    <w:p>
      <w:pPr>
        <w:pStyle w:val="Normal"/>
        <w:rPr>
          <w:rFonts w:ascii="Arial" w:hAnsi="Arial" w:cs="Arial"/>
          <w:sz w:val="20"/>
        </w:rPr>
      </w:pPr>
      <w:r>
        <w:rPr>
          <w:rFonts w:cs="Arial" w:ascii="Arial" w:hAnsi="Arial"/>
          <w:sz w:val="20"/>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Republican State Senate has shown little interest in any legislative approach to deregulation. They are content to allow Governor Pataki and the PSC to proceed with their ongoing efforts. The Democratic State Assembly has pushed for a legislative solution since 1996. Each year they approve a comprehensive bill that is never acted on by the Senate. The 2001 version was introduced last week by the Assembly Speaker, just weeks before the session is due to end.</w:t>
      </w:r>
    </w:p>
  </w:footnote>
  <w:footnote w:id="3">
    <w:p>
      <w:pPr>
        <w:pStyle w:val="FootnoteText"/>
        <w:rPr/>
      </w:pPr>
      <w:r>
        <w:rPr>
          <w:rStyle w:val="FootnoteCharacters"/>
        </w:rPr>
        <w:footnoteRef/>
      </w:r>
      <w:r>
        <w:rPr/>
        <w:t xml:space="preserve"> </w:t>
      </w:r>
      <w:r>
        <w:rPr/>
        <w:t>The NYISO administers the most complicated of the LMP type systems being implemented by the various ISOs.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abstractNum w:abstractNumId="3">
    <w:lvl w:ilvl="0">
      <w:start w:val="1"/>
      <w:numFmt w:val="bullet"/>
      <w:lvlText w:val=""/>
      <w:lvlJc w:val="start"/>
      <w:pPr>
        <w:tabs>
          <w:tab w:val="num" w:pos="792"/>
        </w:tabs>
        <w:ind w:start="792" w:hanging="360"/>
      </w:pPr>
      <w:rPr>
        <w:rFonts w:ascii="Symbol" w:hAnsi="Symbol" w:cs="Symbol" w:hint="default"/>
      </w:rPr>
    </w:lvl>
    <w:lvl w:ilvl="1">
      <w:start w:val="1"/>
      <w:numFmt w:val="bullet"/>
      <w:lvlText w:val="o"/>
      <w:lvlJc w:val="start"/>
      <w:pPr>
        <w:tabs>
          <w:tab w:val="num" w:pos="1512"/>
        </w:tabs>
        <w:ind w:start="1512" w:hanging="360"/>
      </w:pPr>
      <w:rPr>
        <w:rFonts w:ascii="Courier New" w:hAnsi="Courier New" w:cs="Courier New" w:hint="default"/>
      </w:rPr>
    </w:lvl>
    <w:lvl w:ilvl="2">
      <w:start w:val="1"/>
      <w:numFmt w:val="bullet"/>
      <w:lvlText w:val=""/>
      <w:lvlJc w:val="start"/>
      <w:pPr>
        <w:tabs>
          <w:tab w:val="num" w:pos="2232"/>
        </w:tabs>
        <w:ind w:start="2232" w:hanging="360"/>
      </w:pPr>
      <w:rPr>
        <w:rFonts w:ascii="Symbol" w:hAnsi="Symbol" w:cs="Symbol" w:hint="default"/>
      </w:rPr>
    </w:lvl>
    <w:lvl w:ilvl="3">
      <w:start w:val="1"/>
      <w:numFmt w:val="bullet"/>
      <w:lvlText w:val=""/>
      <w:lvlJc w:val="start"/>
      <w:pPr>
        <w:tabs>
          <w:tab w:val="num" w:pos="2952"/>
        </w:tabs>
        <w:ind w:start="2952" w:hanging="360"/>
      </w:pPr>
      <w:rPr>
        <w:rFonts w:ascii="Symbol" w:hAnsi="Symbol" w:cs="Symbol" w:hint="default"/>
      </w:rPr>
    </w:lvl>
    <w:lvl w:ilvl="4">
      <w:start w:val="1"/>
      <w:numFmt w:val="bullet"/>
      <w:lvlText w:val="o"/>
      <w:lvlJc w:val="start"/>
      <w:pPr>
        <w:tabs>
          <w:tab w:val="num" w:pos="3672"/>
        </w:tabs>
        <w:ind w:start="3672" w:hanging="360"/>
      </w:pPr>
      <w:rPr>
        <w:rFonts w:ascii="Courier New" w:hAnsi="Courier New" w:cs="Courier New" w:hint="default"/>
      </w:rPr>
    </w:lvl>
    <w:lvl w:ilvl="5">
      <w:start w:val="1"/>
      <w:numFmt w:val="bullet"/>
      <w:lvlText w:val=""/>
      <w:lvlJc w:val="start"/>
      <w:pPr>
        <w:tabs>
          <w:tab w:val="num" w:pos="4392"/>
        </w:tabs>
        <w:ind w:start="4392" w:hanging="360"/>
      </w:pPr>
      <w:rPr>
        <w:rFonts w:ascii="Wingdings" w:hAnsi="Wingdings" w:cs="Wingdings" w:hint="default"/>
      </w:rPr>
    </w:lvl>
    <w:lvl w:ilvl="6">
      <w:start w:val="1"/>
      <w:numFmt w:val="bullet"/>
      <w:lvlText w:val=""/>
      <w:lvlJc w:val="start"/>
      <w:pPr>
        <w:tabs>
          <w:tab w:val="num" w:pos="5112"/>
        </w:tabs>
        <w:ind w:start="5112" w:hanging="360"/>
      </w:pPr>
      <w:rPr>
        <w:rFonts w:ascii="Symbol" w:hAnsi="Symbol" w:cs="Symbol" w:hint="default"/>
      </w:rPr>
    </w:lvl>
    <w:lvl w:ilvl="7">
      <w:start w:val="1"/>
      <w:numFmt w:val="bullet"/>
      <w:lvlText w:val="o"/>
      <w:lvlJc w:val="start"/>
      <w:pPr>
        <w:tabs>
          <w:tab w:val="num" w:pos="5832"/>
        </w:tabs>
        <w:ind w:start="5832" w:hanging="360"/>
      </w:pPr>
      <w:rPr>
        <w:rFonts w:ascii="Courier New" w:hAnsi="Courier New" w:cs="Courier New" w:hint="default"/>
      </w:rPr>
    </w:lvl>
    <w:lvl w:ilvl="8">
      <w:start w:val="1"/>
      <w:numFmt w:val="bullet"/>
      <w:lvlText w:val=""/>
      <w:lvlJc w:val="start"/>
      <w:pPr>
        <w:tabs>
          <w:tab w:val="num" w:pos="6552"/>
        </w:tabs>
        <w:ind w:start="6552"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72" w:end="0"/>
      <w:outlineLvl w:val="0"/>
    </w:pPr>
    <w:rPr>
      <w:rFonts w:ascii="Garamond" w:hAnsi="Garamond" w:cs="Garamond"/>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5">
    <w:name w:val="WW8Num4z5"/>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pPr>
    <w:rPr>
      <w:rFonts w:ascii="Arial" w:hAnsi="Arial" w:cs="Arial"/>
      <w:szCs w:val="20"/>
    </w:rPr>
  </w:style>
  <w:style w:type="paragraph" w:styleId="Date">
    <w:name w:val="Date"/>
    <w:basedOn w:val="Normal"/>
    <w:qFormat/>
    <w:pPr>
      <w:overflowPunct w:val="false"/>
      <w:autoSpaceDE w:val="false"/>
    </w:pPr>
    <w:rPr>
      <w:rFonts w:ascii="Arial" w:hAnsi="Arial" w:cs="Arial"/>
      <w:sz w:val="20"/>
      <w:szCs w:val="20"/>
    </w:rPr>
  </w:style>
  <w:style w:type="paragraph" w:styleId="Subject">
    <w:name w:val="Subject"/>
    <w:basedOn w:val="Normal"/>
    <w:qFormat/>
    <w:pPr>
      <w:overflowPunct w:val="false"/>
      <w:autoSpaceDE w:val="false"/>
    </w:pPr>
    <w:rPr>
      <w:rFonts w:ascii="Arial" w:hAnsi="Arial" w:cs="Arial"/>
      <w:sz w:val="20"/>
      <w:szCs w:val="20"/>
    </w:rPr>
  </w:style>
  <w:style w:type="paragraph" w:styleId="To">
    <w:name w:val="To"/>
    <w:basedOn w:val="Normal"/>
    <w:qFormat/>
    <w:pPr>
      <w:overflowPunct w:val="false"/>
      <w:autoSpaceDE w:val="false"/>
    </w:pPr>
    <w:rPr>
      <w:rFonts w:ascii="Arial" w:hAnsi="Arial" w:cs="Arial"/>
      <w:sz w:val="20"/>
      <w:szCs w:val="20"/>
    </w:rPr>
  </w:style>
  <w:style w:type="paragraph" w:styleId="From">
    <w:name w:val="From"/>
    <w:basedOn w:val="Normal"/>
    <w:qFormat/>
    <w:pPr>
      <w:overflowPunct w:val="false"/>
      <w:autoSpaceDE w:val="false"/>
    </w:pPr>
    <w:rPr>
      <w:rFonts w:ascii="Arial" w:hAnsi="Arial" w:cs="Arial"/>
      <w:sz w:val="20"/>
      <w:szCs w:val="20"/>
    </w:rPr>
  </w:style>
  <w:style w:type="paragraph" w:styleId="CopyList">
    <w:name w:val="CopyList"/>
    <w:basedOn w:val="Normal"/>
    <w:qFormat/>
    <w:pPr>
      <w:tabs>
        <w:tab w:val="clear" w:pos="720"/>
        <w:tab w:val="left" w:pos="504" w:leader="none"/>
      </w:tabs>
      <w:overflowPunct w:val="false"/>
      <w:autoSpaceDE w:val="false"/>
      <w:spacing w:before="360" w:after="0"/>
      <w:ind w:hanging="504" w:start="576" w:end="0"/>
    </w:pPr>
    <w:rPr>
      <w:rFonts w:ascii="Arial" w:hAnsi="Arial" w:cs="Arial"/>
      <w:sz w:val="20"/>
      <w:szCs w:val="20"/>
    </w:rPr>
  </w:style>
  <w:style w:type="paragraph" w:styleId="Body">
    <w:name w:val="Body"/>
    <w:basedOn w:val="Normal"/>
    <w:qFormat/>
    <w:pPr>
      <w:overflowPunct w:val="false"/>
      <w:autoSpaceDE w:val="false"/>
      <w:ind w:hanging="0" w:start="72" w:end="0"/>
    </w:pPr>
    <w:rPr>
      <w:rFonts w:ascii="Arial" w:hAnsi="Arial" w:cs="Arial"/>
      <w:color w:val="000080"/>
      <w:sz w:val="20"/>
      <w:szCs w:val="20"/>
    </w:rPr>
  </w:style>
  <w:style w:type="paragraph" w:styleId="Department">
    <w:name w:val="Department"/>
    <w:basedOn w:val="Normal"/>
    <w:qFormat/>
    <w:pPr>
      <w:overflowPunct w:val="false"/>
      <w:autoSpaceDE w:val="false"/>
    </w:pPr>
    <w:rPr>
      <w:rFonts w:ascii="Arial" w:hAnsi="Arial" w:cs="Arial"/>
      <w:sz w:val="20"/>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autoSpaceDE w:val="false"/>
      <w:ind w:hanging="0" w:start="72" w:end="0"/>
    </w:pPr>
    <w:rPr>
      <w:rFonts w:ascii="Arial" w:hAnsi="Arial" w:cs="Arial"/>
      <w:sz w:val="20"/>
    </w:rPr>
  </w:style>
  <w:style w:type="paragraph" w:styleId="BodyTextIndent2">
    <w:name w:val="Body Text Indent 2"/>
    <w:basedOn w:val="Normal"/>
    <w:qFormat/>
    <w:pPr>
      <w:autoSpaceDE w:val="false"/>
      <w:ind w:hanging="0" w:start="72"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Memo.dot</Template>
  <TotalTime>293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2001-05-30T16:18:00Z</dcterms:created>
  <dc:creator>hfromer</dc:creator>
  <dc:description/>
  <dc:language>en-CA</dc:language>
  <cp:lastModifiedBy>hfromer</cp:lastModifiedBy>
  <cp:lastPrinted>2001-05-30T19:51:00Z</cp:lastPrinted>
  <dcterms:modified xsi:type="dcterms:W3CDTF">2001-05-30T21:34:00Z</dcterms:modified>
  <cp:revision>4</cp:revision>
  <dc:subject/>
  <dc:title> </dc:title>
</cp:coreProperties>
</file>