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Mr. Patrick Wood</w:t>
      </w:r>
    </w:p>
    <w:p>
      <w:pPr>
        <w:pStyle w:val="Normal"/>
        <w:rPr/>
      </w:pPr>
      <w:r>
        <w:rPr/>
        <w:t>Commissioner</w:t>
      </w:r>
    </w:p>
    <w:p>
      <w:pPr>
        <w:pStyle w:val="Normal"/>
        <w:rPr/>
      </w:pPr>
      <w:r>
        <w:rPr/>
        <w:t>Federal Energy Regulatory Commission</w:t>
      </w:r>
    </w:p>
    <w:p>
      <w:pPr>
        <w:pStyle w:val="Normal"/>
        <w:rPr/>
      </w:pPr>
      <w:r>
        <w:rPr/>
      </w:r>
    </w:p>
    <w:p>
      <w:pPr>
        <w:pStyle w:val="Normal"/>
        <w:rPr/>
      </w:pPr>
      <w:r>
        <w:rPr/>
        <w:t>Washington D.C.</w:t>
      </w:r>
    </w:p>
    <w:p>
      <w:pPr>
        <w:pStyle w:val="Normal"/>
        <w:rPr/>
      </w:pPr>
      <w:r>
        <w:rPr/>
      </w:r>
    </w:p>
    <w:p>
      <w:pPr>
        <w:pStyle w:val="Normal"/>
        <w:rPr/>
      </w:pPr>
      <w:r>
        <w:rPr/>
      </w:r>
    </w:p>
    <w:p>
      <w:pPr>
        <w:pStyle w:val="Normal"/>
        <w:rPr/>
      </w:pPr>
      <w:r>
        <w:rPr/>
      </w:r>
    </w:p>
    <w:p>
      <w:pPr>
        <w:pStyle w:val="Normal"/>
        <w:rPr/>
      </w:pPr>
      <w:r>
        <w:rPr/>
        <w:t>Dear Commissioner Wood:</w:t>
      </w:r>
    </w:p>
    <w:p>
      <w:pPr>
        <w:pStyle w:val="Normal"/>
        <w:rPr/>
      </w:pPr>
      <w:r>
        <w:rPr/>
      </w:r>
    </w:p>
    <w:p>
      <w:pPr>
        <w:pStyle w:val="Normal"/>
        <w:jc w:val="both"/>
        <w:rPr/>
      </w:pPr>
      <w:r>
        <w:rPr/>
        <w:t xml:space="preserve">I have followed with great interest your recent discussions regarding whether intrastate pipelines operating under Natural Gas Policy Act section 311 should be required to provide services demanded by order 636.  Enron is familiar with the Texas intrastate pipeline system through its previous ownership of Houston Pipe Line, and as the prior President of HPL I have first hand knowledge of the market realities.  </w:t>
      </w:r>
    </w:p>
    <w:p>
      <w:pPr>
        <w:pStyle w:val="Normal"/>
        <w:jc w:val="both"/>
        <w:rPr/>
      </w:pPr>
      <w:r>
        <w:rPr/>
      </w:r>
    </w:p>
    <w:p>
      <w:pPr>
        <w:pStyle w:val="Normal"/>
        <w:jc w:val="both"/>
        <w:rPr/>
      </w:pPr>
      <w:r>
        <w:rPr/>
        <w:t xml:space="preserve">Enron strongly supports a market-based approach to ensure liquidity and price transparency in the </w:t>
      </w:r>
      <w:r>
        <w:rPr>
          <w:b/>
          <w:bCs/>
        </w:rPr>
        <w:t>intrastate</w:t>
      </w:r>
      <w:r>
        <w:rPr/>
        <w:t xml:space="preserve"> transport market.  </w:t>
      </w:r>
      <w:r>
        <w:rPr>
          <w:b/>
          <w:bCs/>
        </w:rPr>
        <w:t>Interstate</w:t>
      </w:r>
      <w:r>
        <w:rPr/>
        <w:t xml:space="preserve"> pipelines are having an easier time moving to a more open and freely traded transport market, because there is more standardization in the pricing and selling their transport products.  Interstate pipelines, however, are only part of the story, as the country depends on the intrastate market to serve smaller and more local energy customers.  The development of an open market to sell intrastate pipeline products is critical to efficiently integrating the nation’s energy grid by linking energy suppliers directly with end-users.  Further it will send the proper market signals as to where and how new pipeline capacity should be added.  </w:t>
      </w:r>
    </w:p>
    <w:p>
      <w:pPr>
        <w:pStyle w:val="Normal"/>
        <w:jc w:val="both"/>
        <w:rPr/>
      </w:pPr>
      <w:r>
        <w:rPr/>
      </w:r>
    </w:p>
    <w:p>
      <w:pPr>
        <w:pStyle w:val="Normal"/>
        <w:jc w:val="both"/>
        <w:rPr/>
      </w:pPr>
      <w:r>
        <w:rPr/>
        <w:t xml:space="preserve">Technology platforms exist today to facilitate the efficient allocation of pipeline capacity and to enable the discovery of critical price information to guide new investment in both energy supply and infrastructure.  To date, the intrastate pipelines have resisted using these trading platforms to standardized unbundled pricing information available (e.g., commodity, transport, storage) to third parties.  This is a natural reaction, as unbundling price information increases competition and allows efficient price comparison among intrastate and interstate pipelines.  Intrastate pipelines have traditionally encouraged customers to purchase bundled products that use all the pipeline’s services, rather than purchasing unbundled products.  Further, intrastate pipelines have been reluctant to allow third party shippers to purchase and resell unbundled products as they are in direct competition with the pipeline’s marketing affiliates.  This behavior is fair, provided that a market structure exists to enable open competition between providers of these pipeline services.   </w:t>
      </w:r>
    </w:p>
    <w:p>
      <w:pPr>
        <w:pStyle w:val="Normal"/>
        <w:jc w:val="both"/>
        <w:rPr/>
      </w:pPr>
      <w:r>
        <w:rPr/>
      </w:r>
    </w:p>
    <w:p>
      <w:pPr>
        <w:pStyle w:val="Normal"/>
        <w:jc w:val="both"/>
        <w:rPr/>
      </w:pPr>
      <w:r>
        <w:rPr/>
        <w:t>Unfortunately, such a structure does not yet exist in the intrastate market, and action is required by the various regulatory bodies to encourage intrastate pipelines to offer (or enable others to offer) pipeline services to third parties.  Specifically:</w:t>
      </w:r>
    </w:p>
    <w:p>
      <w:pPr>
        <w:pStyle w:val="Normal"/>
        <w:jc w:val="both"/>
        <w:rPr/>
      </w:pPr>
      <w:r>
        <w:rPr/>
      </w:r>
    </w:p>
    <w:p>
      <w:pPr>
        <w:pStyle w:val="BodyTextIndent"/>
        <w:numPr>
          <w:ilvl w:val="0"/>
          <w:numId w:val="1"/>
        </w:numPr>
        <w:rPr/>
      </w:pPr>
      <w:r>
        <w:rPr/>
        <w:t>actions should be taken to encourage the development and trading of standard contracts for intrastate pipeline services that create liquidity and allow efficient price discovery,</w:t>
      </w:r>
    </w:p>
    <w:p>
      <w:pPr>
        <w:pStyle w:val="Normal"/>
        <w:numPr>
          <w:ilvl w:val="0"/>
          <w:numId w:val="1"/>
        </w:numPr>
        <w:jc w:val="both"/>
        <w:rPr/>
      </w:pPr>
      <w:r>
        <w:rPr/>
        <w:t>actions should be taken to create a partnership between industry and regulators to use existing trading platforms to offer these standard contracts on a transparent basis.</w:t>
      </w:r>
    </w:p>
    <w:p>
      <w:pPr>
        <w:pStyle w:val="Normal"/>
        <w:ind w:start="720" w:end="0"/>
        <w:jc w:val="both"/>
        <w:rPr/>
      </w:pPr>
      <w:r>
        <w:rPr/>
      </w:r>
    </w:p>
    <w:p>
      <w:pPr>
        <w:pStyle w:val="BodyText"/>
        <w:rPr/>
      </w:pPr>
      <w:r>
        <w:rPr/>
        <w:t xml:space="preserve">Creating such a market will allocate transport capacity to its most critical use where it can command the highest value.  Further it will send the proper market signals as to where new pipeline capacity should be added to efficiently link supply and demand. </w:t>
      </w:r>
    </w:p>
    <w:p>
      <w:pPr>
        <w:pStyle w:val="Normal"/>
        <w:jc w:val="both"/>
        <w:rPr/>
      </w:pPr>
      <w:r>
        <w:rPr/>
      </w:r>
    </w:p>
    <w:p>
      <w:pPr>
        <w:pStyle w:val="Normal"/>
        <w:jc w:val="both"/>
        <w:rPr/>
      </w:pPr>
      <w:r>
        <w:rPr/>
        <w:t>Again, we appreciate any forum you can provide to discuss and debate this matter as a first step to progress.</w:t>
      </w:r>
    </w:p>
    <w:p>
      <w:pPr>
        <w:pStyle w:val="Normal"/>
        <w:jc w:val="both"/>
        <w:rPr/>
      </w:pPr>
      <w:r>
        <w:rPr/>
      </w:r>
    </w:p>
    <w:p>
      <w:pPr>
        <w:pStyle w:val="Normal"/>
        <w:jc w:val="both"/>
        <w:rPr/>
      </w:pPr>
      <w:r>
        <w:rPr/>
      </w:r>
    </w:p>
    <w:p>
      <w:pPr>
        <w:pStyle w:val="Normal"/>
        <w:jc w:val="both"/>
        <w:rPr/>
      </w:pPr>
      <w:r>
        <w:rPr/>
        <w:t>Regards,</w:t>
      </w:r>
    </w:p>
    <w:p>
      <w:pPr>
        <w:pStyle w:val="Normal"/>
        <w:jc w:val="both"/>
        <w:rPr/>
      </w:pPr>
      <w:r>
        <w:rPr/>
      </w:r>
    </w:p>
    <w:p>
      <w:pPr>
        <w:pStyle w:val="Normal"/>
        <w:jc w:val="both"/>
        <w:rPr/>
      </w:pPr>
      <w:r>
        <w:rPr/>
      </w:r>
    </w:p>
    <w:p>
      <w:pPr>
        <w:pStyle w:val="Normal"/>
        <w:jc w:val="both"/>
        <w:rPr/>
      </w:pPr>
      <w:r>
        <w:rPr/>
      </w:r>
    </w:p>
    <w:p>
      <w:pPr>
        <w:pStyle w:val="Normal"/>
        <w:jc w:val="both"/>
        <w:rPr/>
      </w:pPr>
      <w:r>
        <w:rPr/>
        <w:t xml:space="preserve">Brian L. Redmond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44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2001-08-13T15:58:00Z</dcterms:created>
  <dc:creator>bredmon</dc:creator>
  <dc:description/>
  <dc:language>en-CA</dc:language>
  <cp:lastModifiedBy>bredmon</cp:lastModifiedBy>
  <cp:lastPrinted>2001-08-13T15:57:00Z</cp:lastPrinted>
  <dcterms:modified xsi:type="dcterms:W3CDTF">2001-08-13T18:28:00Z</dcterms:modified>
  <cp:revision>2</cp:revision>
  <dc:subject/>
  <dc:title>Mr</dc:title>
</cp:coreProperties>
</file>