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z w:val="30"/>
          <w:u w:val="single"/>
        </w:rPr>
      </w:pPr>
      <w:r>
        <w:rPr>
          <w:b/>
          <w:sz w:val="30"/>
          <w:u w:val="single"/>
        </w:rPr>
      </w:r>
    </w:p>
    <w:p>
      <w:pPr>
        <w:pStyle w:val="Normal"/>
        <w:numPr>
          <w:ilvl w:val="0"/>
          <w:numId w:val="1"/>
        </w:numPr>
        <w:rPr>
          <w:sz w:val="26"/>
        </w:rPr>
      </w:pPr>
      <w:r>
        <w:rPr>
          <w:b/>
          <w:sz w:val="26"/>
        </w:rPr>
        <w:t>Real Estate</w:t>
        <w:br/>
        <w:br/>
        <w:t>1.</w:t>
        <w:tab/>
      </w:r>
      <w:r>
        <w:rPr>
          <w:sz w:val="26"/>
        </w:rPr>
        <w:t>Tejon Ranch</w:t>
        <w:br/>
        <w:br/>
        <w:tab/>
      </w:r>
      <w:r>
        <w:rPr>
          <w:b/>
          <w:sz w:val="26"/>
        </w:rPr>
        <w:t>a.</w:t>
        <w:tab/>
      </w:r>
      <w:r>
        <w:rPr>
          <w:sz w:val="26"/>
        </w:rPr>
        <w:t>Transaction Agreement - Tejon Interests and Developer Interests dated April 30, 1999</w:t>
        <w:br/>
        <w:br/>
      </w:r>
      <w:r>
        <w:rPr>
          <w:b/>
          <w:sz w:val="26"/>
        </w:rPr>
        <w:tab/>
        <w:t>b.</w:t>
        <w:tab/>
      </w:r>
      <w:r>
        <w:rPr>
          <w:sz w:val="26"/>
        </w:rPr>
        <w:t>Option Agreement Tejon Ranchcorp and Pastoria Energy Facility, LLC (“Pastoria”) dated April 30, 1999</w:t>
        <w:br/>
        <w:br/>
        <w:tab/>
        <w:tab/>
      </w:r>
      <w:r>
        <w:rPr>
          <w:b/>
          <w:sz w:val="26"/>
        </w:rPr>
        <w:t>i.</w:t>
        <w:tab/>
      </w:r>
      <w:r>
        <w:rPr>
          <w:sz w:val="26"/>
        </w:rPr>
        <w:t>Fax from Dennis Mullins to MDBE dated April 26, 1999 enclosing Field Notes dated March 26,1999 of Paul Pruett &amp; Associates, Energy Site and possible Pipeline Route</w:t>
      </w:r>
      <w:r>
        <w:rPr>
          <w:b/>
          <w:sz w:val="26"/>
        </w:rPr>
        <w:br/>
      </w:r>
      <w:r>
        <w:rPr>
          <w:sz w:val="26"/>
        </w:rPr>
        <w:br/>
        <w:tab/>
        <w:tab/>
      </w:r>
      <w:r>
        <w:rPr>
          <w:b/>
          <w:sz w:val="26"/>
        </w:rPr>
        <w:t>ii.</w:t>
        <w:tab/>
      </w:r>
      <w:r>
        <w:rPr>
          <w:sz w:val="26"/>
        </w:rPr>
        <w:t>Memo from Dennis Mullins (Tejon Ranch) to MDBE dated April 27, 199i enclosing Section 8.1 disclosure documents; Schedule 9.2i</w:t>
        <w:br/>
        <w:br/>
        <w:tab/>
        <w:tab/>
      </w:r>
      <w:r>
        <w:rPr>
          <w:b/>
          <w:sz w:val="26"/>
        </w:rPr>
        <w:t>iii.</w:t>
      </w:r>
      <w:r>
        <w:rPr>
          <w:sz w:val="26"/>
        </w:rPr>
        <w:tab/>
        <w:t>Conditional Use Permit #2, Map #218R – N Tehachapi Pumping Plant, E of Grapevine Tejon Ranch Co. by Duncan Patty</w:t>
        <w:br/>
        <w:br/>
        <w:tab/>
        <w:tab/>
      </w:r>
      <w:r>
        <w:rPr>
          <w:b/>
          <w:sz w:val="26"/>
        </w:rPr>
        <w:t>iv.</w:t>
      </w:r>
      <w:r>
        <w:rPr>
          <w:sz w:val="26"/>
        </w:rPr>
        <w:tab/>
        <w:t>Conditional Use Permit #3, Map #218R – N Tehachapi Pumping Plant, E of Grapevine Tejon Ranch Co. by Duncan Patty</w:t>
        <w:br/>
        <w:br/>
        <w:tab/>
      </w:r>
      <w:r>
        <w:rPr>
          <w:b/>
          <w:sz w:val="26"/>
        </w:rPr>
        <w:t>c.</w:t>
        <w:tab/>
      </w:r>
      <w:r>
        <w:rPr>
          <w:sz w:val="26"/>
        </w:rPr>
        <w:t>Opinion letter from McCutchen, Doyle, Brown &amp; Enersen, LLP (“MDBE”) dated May 3, 1999 re: Tejon Project Agreements</w:t>
        <w:br/>
        <w:br/>
        <w:tab/>
      </w:r>
      <w:r>
        <w:rPr>
          <w:b/>
          <w:sz w:val="26"/>
        </w:rPr>
        <w:t>d</w:t>
      </w:r>
      <w:r>
        <w:rPr>
          <w:sz w:val="26"/>
        </w:rPr>
        <w:t>.</w:t>
        <w:tab/>
        <w:t>Opinion letter from Gibson, Dunn &amp; Crutcher LLP dated May 3, 1999 re: Development of Proposed Merchant Power Plant</w:t>
        <w:br/>
        <w:br/>
        <w:tab/>
      </w:r>
      <w:r>
        <w:rPr>
          <w:b/>
          <w:sz w:val="26"/>
        </w:rPr>
        <w:t>e</w:t>
      </w:r>
      <w:r>
        <w:rPr>
          <w:sz w:val="26"/>
        </w:rPr>
        <w:t>.</w:t>
        <w:tab/>
        <w:t>Officer’s Certificate of Tejon Ranch Co. and Tejon Ranchcorp dated April 30, 1999</w:t>
        <w:br/>
        <w:br/>
        <w:tab/>
      </w:r>
      <w:r>
        <w:rPr>
          <w:b/>
          <w:sz w:val="26"/>
        </w:rPr>
        <w:t>f.</w:t>
      </w:r>
      <w:r>
        <w:rPr>
          <w:sz w:val="26"/>
        </w:rPr>
        <w:tab/>
        <w:t>BackUp Certificate from Enron Capital &amp; Trade Resources Corp. (“Enron”) to MDBE dated May 3, 1999</w:t>
        <w:br/>
        <w:br/>
        <w:tab/>
      </w:r>
      <w:r>
        <w:rPr>
          <w:b/>
          <w:sz w:val="26"/>
        </w:rPr>
        <w:t>g.</w:t>
      </w:r>
      <w:r>
        <w:rPr>
          <w:sz w:val="26"/>
        </w:rPr>
        <w:tab/>
        <w:t>Letter from MDBE to Dave Parquet and Dennis Mullins re:  delivery of documents for Pastoria Project dated May 3, 1999</w:t>
        <w:br/>
        <w:br/>
        <w:tab/>
      </w:r>
      <w:r>
        <w:rPr>
          <w:b/>
          <w:sz w:val="26"/>
        </w:rPr>
        <w:t>h.</w:t>
      </w:r>
      <w:r>
        <w:rPr>
          <w:sz w:val="26"/>
        </w:rPr>
        <w:tab/>
        <w:t>Letter from Enron and Pastoria to Tejon Ranch Company dated February 16, 2000 re:  Option Agreement dated April 30, 1999</w:t>
        <w:br/>
        <w:br/>
      </w:r>
      <w:r>
        <w:rPr>
          <w:b/>
          <w:sz w:val="26"/>
        </w:rPr>
        <w:t>2.</w:t>
      </w:r>
      <w:r>
        <w:rPr>
          <w:sz w:val="26"/>
        </w:rPr>
        <w:tab/>
        <w:t>Diamond Farming</w:t>
        <w:br/>
        <w:br/>
      </w:r>
      <w:r>
        <w:rPr>
          <w:b/>
          <w:sz w:val="26"/>
        </w:rPr>
        <w:t>3.</w:t>
      </w:r>
      <w:r>
        <w:rPr>
          <w:sz w:val="26"/>
        </w:rPr>
        <w:tab/>
        <w:t>Easement Holder Consents</w:t>
        <w:br/>
        <w:br/>
      </w:r>
      <w:r>
        <w:rPr>
          <w:b/>
          <w:sz w:val="26"/>
        </w:rPr>
        <w:t>4.</w:t>
      </w:r>
      <w:r>
        <w:rPr>
          <w:sz w:val="26"/>
        </w:rPr>
        <w:tab/>
        <w:t>Department of Water Resources (“DWR”) – Transmission</w:t>
        <w:br/>
        <w:br/>
      </w:r>
      <w:r>
        <w:rPr>
          <w:b/>
          <w:sz w:val="26"/>
        </w:rPr>
        <w:t>5.</w:t>
      </w:r>
      <w:r>
        <w:rPr>
          <w:sz w:val="26"/>
        </w:rPr>
        <w:tab/>
        <w:t>DWR – Road Access</w:t>
        <w:br/>
        <w:br/>
        <w:tab/>
      </w:r>
      <w:r>
        <w:rPr>
          <w:b/>
          <w:sz w:val="26"/>
        </w:rPr>
        <w:t>a.</w:t>
      </w:r>
      <w:r>
        <w:rPr>
          <w:sz w:val="26"/>
        </w:rPr>
        <w:tab/>
        <w:t>Letter from Patch Engineering &amp; Construction to DWR re:  Pastoria, Encroachment Permit Applications</w:t>
        <w:br/>
        <w:br/>
        <w:tab/>
        <w:tab/>
      </w:r>
      <w:r>
        <w:rPr>
          <w:b/>
          <w:sz w:val="26"/>
        </w:rPr>
        <w:t>i.</w:t>
      </w:r>
      <w:r>
        <w:rPr>
          <w:sz w:val="26"/>
        </w:rPr>
        <w:tab/>
        <w:t>Application to DWR to Use Edmonston Road</w:t>
      </w:r>
      <w:r>
        <w:rPr>
          <w:b/>
          <w:sz w:val="26"/>
        </w:rPr>
        <w:br/>
      </w:r>
      <w:r>
        <w:rPr>
          <w:sz w:val="26"/>
        </w:rPr>
        <w:br/>
        <w:tab/>
        <w:tab/>
        <w:t>ii</w:t>
      </w:r>
      <w:r>
        <w:rPr>
          <w:b/>
          <w:sz w:val="26"/>
        </w:rPr>
        <w:t>.</w:t>
      </w:r>
      <w:r>
        <w:rPr>
          <w:sz w:val="26"/>
        </w:rPr>
        <w:tab/>
        <w:t>Application to DWR to Construct Extension from Road</w:t>
      </w:r>
      <w:r>
        <w:rPr>
          <w:b/>
          <w:sz w:val="26"/>
        </w:rPr>
        <w:br/>
      </w:r>
      <w:r>
        <w:rPr>
          <w:sz w:val="26"/>
        </w:rPr>
        <w:br/>
      </w:r>
      <w:r>
        <w:rPr>
          <w:b/>
          <w:sz w:val="26"/>
        </w:rPr>
        <w:t>6.</w:t>
      </w:r>
      <w:r>
        <w:rPr>
          <w:sz w:val="26"/>
        </w:rPr>
        <w:tab/>
        <w:t xml:space="preserve">Title </w:t>
        <w:br/>
        <w:br/>
        <w:tab/>
      </w:r>
      <w:r>
        <w:rPr>
          <w:b/>
          <w:sz w:val="26"/>
        </w:rPr>
        <w:t>a.</w:t>
      </w:r>
      <w:r>
        <w:rPr>
          <w:sz w:val="26"/>
        </w:rPr>
        <w:tab/>
        <w:t>Title Report and Exceptions – Facility Site (1 Vol)</w:t>
      </w:r>
      <w:r>
        <w:rPr>
          <w:b/>
          <w:sz w:val="26"/>
        </w:rPr>
        <w:br/>
      </w:r>
      <w:r>
        <w:rPr>
          <w:sz w:val="26"/>
        </w:rPr>
        <w:br/>
        <w:tab/>
      </w:r>
      <w:r>
        <w:rPr>
          <w:b/>
          <w:sz w:val="26"/>
        </w:rPr>
        <w:t>b.</w:t>
      </w:r>
      <w:r>
        <w:rPr>
          <w:sz w:val="26"/>
        </w:rPr>
        <w:tab/>
        <w:t>Title Report and Exceptions – Gas Pipeline (3 Vols)</w:t>
      </w:r>
      <w:r>
        <w:rPr>
          <w:b/>
          <w:sz w:val="26"/>
        </w:rPr>
        <w:br/>
      </w:r>
      <w:r>
        <w:rPr>
          <w:sz w:val="26"/>
        </w:rPr>
        <w:br/>
        <w:tab/>
      </w:r>
      <w:r>
        <w:rPr>
          <w:b/>
          <w:sz w:val="26"/>
        </w:rPr>
        <w:t>c.</w:t>
      </w:r>
      <w:r>
        <w:rPr>
          <w:sz w:val="26"/>
        </w:rPr>
        <w:tab/>
        <w:t>Title Report and Exceptions – Other Elements (3 Vols)</w:t>
      </w:r>
      <w:r>
        <w:rPr>
          <w:b/>
          <w:sz w:val="26"/>
        </w:rPr>
        <w:br/>
      </w:r>
      <w:r>
        <w:rPr>
          <w:sz w:val="26"/>
        </w:rPr>
        <w:br/>
        <w:tab/>
      </w:r>
      <w:r>
        <w:rPr>
          <w:b/>
          <w:sz w:val="26"/>
        </w:rPr>
        <w:t>d.</w:t>
      </w:r>
      <w:r>
        <w:rPr>
          <w:sz w:val="26"/>
        </w:rPr>
        <w:tab/>
        <w:t>Maps/Surveys</w:t>
        <w:br/>
        <w:br/>
      </w:r>
      <w:r>
        <w:rPr>
          <w:b/>
          <w:sz w:val="26"/>
        </w:rPr>
        <w:t>7.</w:t>
      </w:r>
      <w:r>
        <w:rPr>
          <w:sz w:val="26"/>
        </w:rPr>
        <w:tab/>
        <w:t>Parcel Map</w:t>
        <w:br/>
        <w:br/>
        <w:tab/>
      </w:r>
      <w:r>
        <w:rPr>
          <w:b/>
          <w:sz w:val="26"/>
        </w:rPr>
        <w:t>a.</w:t>
      </w:r>
      <w:r>
        <w:rPr>
          <w:sz w:val="26"/>
        </w:rPr>
        <w:tab/>
        <w:t>Letter from the Resource Management Agency, Planning Department to Wilson and Associates re:  Parcel Map 10694 by Enron, Pastoria - Related Zone Variance 1, Map 218R, dated August 8, 2000</w:t>
        <w:br/>
        <w:br/>
        <w:tab/>
      </w:r>
      <w:r>
        <w:rPr>
          <w:b/>
          <w:sz w:val="26"/>
        </w:rPr>
        <w:t>b.</w:t>
      </w:r>
      <w:r>
        <w:rPr>
          <w:sz w:val="26"/>
        </w:rPr>
        <w:tab/>
        <w:t>Parcel Map Application</w:t>
      </w:r>
      <w:r>
        <w:rPr>
          <w:b/>
          <w:sz w:val="26"/>
        </w:rPr>
        <w:br/>
      </w:r>
      <w:r>
        <w:rPr>
          <w:sz w:val="26"/>
        </w:rPr>
        <w:br/>
        <w:tab/>
      </w:r>
      <w:r>
        <w:rPr>
          <w:b/>
          <w:sz w:val="26"/>
        </w:rPr>
        <w:t>c.</w:t>
      </w:r>
      <w:r>
        <w:rPr>
          <w:sz w:val="26"/>
        </w:rPr>
        <w:tab/>
        <w:t>Parcel Map Conditions</w:t>
      </w:r>
      <w:r>
        <w:rPr>
          <w:b/>
          <w:sz w:val="26"/>
        </w:rPr>
        <w:br/>
      </w:r>
      <w:r>
        <w:rPr>
          <w:sz w:val="26"/>
        </w:rPr>
        <w:br/>
      </w:r>
      <w:r>
        <w:rPr>
          <w:b/>
          <w:sz w:val="26"/>
        </w:rPr>
        <w:t>8.</w:t>
      </w:r>
      <w:r>
        <w:rPr>
          <w:sz w:val="26"/>
        </w:rPr>
        <w:tab/>
        <w:t>Williamson Act</w:t>
        <w:br/>
        <w:br/>
        <w:tab/>
      </w:r>
      <w:r>
        <w:rPr>
          <w:b/>
          <w:sz w:val="26"/>
        </w:rPr>
        <w:t>a.</w:t>
      </w:r>
      <w:r>
        <w:rPr>
          <w:sz w:val="26"/>
        </w:rPr>
        <w:tab/>
        <w:t>Petition for Cancellation of a Portion of a Land Use Contract or Land Use Agreement dated June 15, 2000</w:t>
        <w:br/>
        <w:br/>
        <w:tab/>
      </w:r>
      <w:r>
        <w:rPr>
          <w:b/>
          <w:sz w:val="26"/>
        </w:rPr>
        <w:t>b.</w:t>
      </w:r>
      <w:r>
        <w:rPr>
          <w:sz w:val="26"/>
        </w:rPr>
        <w:tab/>
        <w:t>Notice of Nonrenewal Land Use Contract or Agreement dated August 30, 2000</w:t>
        <w:br/>
        <w:br/>
        <w:tab/>
      </w:r>
      <w:r>
        <w:rPr>
          <w:b/>
          <w:sz w:val="26"/>
        </w:rPr>
        <w:t>c.</w:t>
      </w:r>
      <w:r>
        <w:rPr>
          <w:sz w:val="26"/>
        </w:rPr>
        <w:tab/>
        <w:t>Assembly Bill No. 2698</w:t>
        <w:br/>
        <w:br/>
        <w:tab/>
      </w:r>
      <w:r>
        <w:rPr>
          <w:b/>
          <w:sz w:val="26"/>
        </w:rPr>
        <w:t>d.</w:t>
      </w:r>
      <w:r>
        <w:rPr>
          <w:sz w:val="26"/>
        </w:rPr>
        <w:tab/>
        <w:t>Letter from Enron to the Honorable Gray Davis re  AB2698 (Florez)</w:t>
        <w:br/>
        <w:br/>
        <w:tab/>
      </w:r>
      <w:r>
        <w:rPr>
          <w:b/>
          <w:sz w:val="26"/>
        </w:rPr>
        <w:t>e.</w:t>
      </w:r>
      <w:r>
        <w:rPr>
          <w:sz w:val="26"/>
        </w:rPr>
        <w:tab/>
        <w:t>Staff Report of the Kern County Planning Department Planning Commission dated August 24, 2000</w:t>
        <w:br/>
        <w:br/>
      </w:r>
      <w:r>
        <w:rPr>
          <w:b/>
          <w:sz w:val="26"/>
        </w:rPr>
        <w:t>9.</w:t>
      </w:r>
      <w:r>
        <w:rPr>
          <w:sz w:val="26"/>
        </w:rPr>
        <w:tab/>
        <w:t>Pipeline Franchise</w:t>
        <w:br/>
        <w:br/>
        <w:tab/>
      </w:r>
      <w:r>
        <w:rPr>
          <w:b/>
          <w:sz w:val="26"/>
        </w:rPr>
        <w:t>a.</w:t>
      </w:r>
      <w:r>
        <w:rPr>
          <w:sz w:val="26"/>
        </w:rPr>
        <w:tab/>
        <w:t>Resolution No. 2000-277 Before the Board of Supervisors County of Kern, State of California</w:t>
        <w:br/>
        <w:br/>
      </w:r>
      <w:r>
        <w:rPr>
          <w:b/>
          <w:sz w:val="26"/>
        </w:rPr>
        <w:t>10.</w:t>
      </w:r>
      <w:r>
        <w:rPr>
          <w:sz w:val="26"/>
        </w:rPr>
        <w:tab/>
        <w:t>Miscellaneous</w:t>
        <w:br/>
      </w:r>
    </w:p>
    <w:p>
      <w:pPr>
        <w:pStyle w:val="Normal"/>
        <w:numPr>
          <w:ilvl w:val="0"/>
          <w:numId w:val="1"/>
        </w:numPr>
        <w:rPr>
          <w:sz w:val="26"/>
        </w:rPr>
      </w:pPr>
      <w:r>
        <w:rPr>
          <w:b/>
          <w:sz w:val="26"/>
        </w:rPr>
        <w:t>Mitigation</w:t>
        <w:br/>
        <w:br/>
        <w:t>1.</w:t>
      </w:r>
      <w:r>
        <w:rPr>
          <w:sz w:val="26"/>
        </w:rPr>
        <w:tab/>
        <w:t>Open Space Easement</w:t>
        <w:br/>
        <w:br/>
        <w:tab/>
      </w:r>
      <w:r>
        <w:rPr>
          <w:b/>
          <w:sz w:val="26"/>
        </w:rPr>
        <w:t>a.</w:t>
      </w:r>
      <w:r>
        <w:rPr>
          <w:sz w:val="26"/>
        </w:rPr>
        <w:tab/>
        <w:t>Draft Easement Deed and Agreement between Tejon Ranchcorp and Pastoria dated _______, 2000 (not signed)</w:t>
        <w:br/>
        <w:br/>
      </w:r>
      <w:r>
        <w:rPr>
          <w:b/>
          <w:sz w:val="26"/>
        </w:rPr>
        <w:t>2.</w:t>
      </w:r>
      <w:r>
        <w:rPr>
          <w:sz w:val="26"/>
        </w:rPr>
        <w:tab/>
        <w:t>Helicopter Pad and Hanger</w:t>
        <w:br/>
        <w:br/>
        <w:tab/>
      </w:r>
      <w:r>
        <w:rPr>
          <w:b/>
          <w:sz w:val="26"/>
        </w:rPr>
        <w:t>a.</w:t>
      </w:r>
      <w:r>
        <w:rPr>
          <w:sz w:val="26"/>
        </w:rPr>
        <w:tab/>
        <w:t>Letter from Kern County Administrative Office, Director of Policy Analysis re:  Helicopter Hanger and Landing Pad Project dated August 8, 2000</w:t>
        <w:br/>
        <w:br/>
        <w:tab/>
      </w:r>
      <w:r>
        <w:rPr>
          <w:b/>
          <w:sz w:val="26"/>
        </w:rPr>
        <w:t>b.</w:t>
      </w:r>
      <w:r>
        <w:rPr>
          <w:sz w:val="26"/>
        </w:rPr>
        <w:tab/>
        <w:t>Letter from Kern County Administrative Office, County Administrative Officer re:  Pastoria to bear full financial burden for construction of helipad and helicopter hangar dated September 19, 2000</w:t>
        <w:br/>
      </w:r>
    </w:p>
    <w:p>
      <w:pPr>
        <w:pStyle w:val="Normal"/>
        <w:numPr>
          <w:ilvl w:val="0"/>
          <w:numId w:val="1"/>
        </w:numPr>
        <w:rPr>
          <w:sz w:val="26"/>
        </w:rPr>
      </w:pPr>
      <w:r>
        <w:rPr>
          <w:b/>
          <w:sz w:val="26"/>
        </w:rPr>
        <w:t>Air</w:t>
        <w:br/>
        <w:br/>
        <w:t>1.</w:t>
      </w:r>
      <w:r>
        <w:rPr>
          <w:sz w:val="26"/>
        </w:rPr>
        <w:tab/>
        <w:t>Final Determination of Compliance</w:t>
        <w:br/>
        <w:br/>
        <w:tab/>
      </w:r>
      <w:r>
        <w:rPr>
          <w:b/>
          <w:sz w:val="26"/>
        </w:rPr>
        <w:t>a.</w:t>
      </w:r>
      <w:r>
        <w:rPr>
          <w:sz w:val="26"/>
        </w:rPr>
        <w:tab/>
        <w:t>Updated version (submitted on September 5, 2000) of the Final Determination of Compliance as filed with the California Energy Commission on August 7, 2000</w:t>
        <w:br/>
        <w:br/>
        <w:tab/>
      </w:r>
      <w:r>
        <w:rPr>
          <w:b/>
          <w:sz w:val="26"/>
        </w:rPr>
        <w:t>b.</w:t>
      </w:r>
      <w:r>
        <w:rPr>
          <w:sz w:val="26"/>
        </w:rPr>
        <w:tab/>
        <w:t xml:space="preserve">Letters from the San Joaquin Valley Air Pollution Control re:  Final Determination of Compliance </w:t>
        <w:br/>
        <w:br/>
        <w:tab/>
      </w:r>
      <w:r>
        <w:rPr>
          <w:b/>
          <w:sz w:val="26"/>
        </w:rPr>
        <w:t>c.</w:t>
      </w:r>
      <w:r>
        <w:rPr>
          <w:sz w:val="26"/>
        </w:rPr>
        <w:tab/>
        <w:t>Letter from MDBE to United States Environmental Protection Agency re:  Enron Pastoria Energy Facility dated August 1, 2000</w:t>
        <w:br/>
        <w:br/>
      </w:r>
      <w:r>
        <w:rPr>
          <w:b/>
          <w:sz w:val="26"/>
        </w:rPr>
        <w:t>2.</w:t>
      </w:r>
      <w:r>
        <w:rPr>
          <w:sz w:val="26"/>
        </w:rPr>
        <w:tab/>
        <w:t>PSD Permit</w:t>
        <w:br/>
        <w:br/>
        <w:tab/>
      </w:r>
      <w:r>
        <w:rPr>
          <w:b/>
          <w:sz w:val="26"/>
        </w:rPr>
        <w:t>a.</w:t>
      </w:r>
      <w:r>
        <w:rPr>
          <w:sz w:val="26"/>
        </w:rPr>
        <w:tab/>
        <w:t>Application</w:t>
        <w:br/>
        <w:br/>
        <w:tab/>
      </w:r>
      <w:r>
        <w:rPr>
          <w:b/>
          <w:sz w:val="26"/>
        </w:rPr>
        <w:t>b.</w:t>
      </w:r>
      <w:r>
        <w:rPr>
          <w:sz w:val="26"/>
        </w:rPr>
        <w:tab/>
        <w:t>Letter from the United States Environmental Protection Agency to Enron re:  Prevention of Significant Deterioration Application for Pastoria’s proposed 750 MW Power Plant dated January 10, 2000</w:t>
      </w:r>
      <w:r>
        <w:rPr>
          <w:b/>
          <w:sz w:val="26"/>
        </w:rPr>
        <w:br/>
      </w:r>
      <w:r>
        <w:rPr>
          <w:sz w:val="26"/>
        </w:rPr>
        <w:br/>
      </w:r>
      <w:r>
        <w:rPr>
          <w:b/>
          <w:sz w:val="26"/>
        </w:rPr>
        <w:t>3.</w:t>
      </w:r>
      <w:r>
        <w:rPr>
          <w:sz w:val="26"/>
        </w:rPr>
        <w:tab/>
        <w:t>ERCs</w:t>
        <w:br/>
        <w:br/>
        <w:tab/>
      </w:r>
      <w:r>
        <w:rPr>
          <w:b/>
          <w:sz w:val="26"/>
        </w:rPr>
        <w:t>a.</w:t>
      </w:r>
      <w:r>
        <w:rPr>
          <w:sz w:val="26"/>
        </w:rPr>
        <w:tab/>
        <w:t>Aera #1</w:t>
        <w:br/>
        <w:br/>
        <w:tab/>
        <w:tab/>
      </w:r>
      <w:r>
        <w:rPr>
          <w:b/>
          <w:sz w:val="26"/>
        </w:rPr>
        <w:t>i.</w:t>
      </w:r>
      <w:r>
        <w:rPr>
          <w:sz w:val="26"/>
        </w:rPr>
        <w:tab/>
        <w:t>Memorandum of Agreement</w:t>
        <w:br/>
        <w:br/>
        <w:tab/>
        <w:tab/>
      </w:r>
      <w:r>
        <w:rPr>
          <w:b/>
          <w:sz w:val="26"/>
        </w:rPr>
        <w:t>ii.</w:t>
      </w:r>
      <w:r>
        <w:rPr>
          <w:sz w:val="26"/>
        </w:rPr>
        <w:tab/>
        <w:t>Agreement for Purchase and Sale of Emission Reduction Credits by and between Aera Energy LLC (“Aera”) and Pastoria dated as of February 15, 2000</w:t>
        <w:br/>
        <w:br/>
        <w:tab/>
        <w:tab/>
      </w:r>
      <w:r>
        <w:rPr>
          <w:b/>
          <w:sz w:val="26"/>
        </w:rPr>
        <w:t>iii.</w:t>
      </w:r>
      <w:r>
        <w:rPr>
          <w:sz w:val="26"/>
        </w:rPr>
        <w:tab/>
        <w:t>Letters from San Joaquin Valley Air Pollution Control attaching Certificates purchased from Aera</w:t>
        <w:br/>
        <w:br/>
        <w:tab/>
        <w:tab/>
      </w:r>
      <w:r>
        <w:rPr>
          <w:b/>
          <w:sz w:val="26"/>
        </w:rPr>
        <w:t>iv.</w:t>
      </w:r>
      <w:r>
        <w:rPr>
          <w:sz w:val="26"/>
        </w:rPr>
        <w:tab/>
        <w:t>Letter from Pastoria to Aera re: Agreement for Purchase and Sale of Emission Reduction Credits dated as of  February 15, 2000</w:t>
        <w:br/>
        <w:br/>
        <w:tab/>
      </w:r>
      <w:r>
        <w:rPr>
          <w:b/>
          <w:sz w:val="26"/>
        </w:rPr>
        <w:t>b.</w:t>
      </w:r>
      <w:r>
        <w:rPr>
          <w:sz w:val="26"/>
        </w:rPr>
        <w:tab/>
        <w:t>Aera #2</w:t>
        <w:br/>
        <w:br/>
        <w:tab/>
        <w:tab/>
      </w:r>
      <w:r>
        <w:rPr>
          <w:b/>
          <w:sz w:val="26"/>
        </w:rPr>
        <w:t>i.</w:t>
      </w:r>
      <w:r>
        <w:rPr>
          <w:sz w:val="26"/>
        </w:rPr>
        <w:tab/>
        <w:t>Memorandum of Agreement</w:t>
        <w:br/>
        <w:br/>
        <w:tab/>
        <w:tab/>
      </w:r>
      <w:r>
        <w:rPr>
          <w:b/>
          <w:sz w:val="26"/>
        </w:rPr>
        <w:t>ii.</w:t>
      </w:r>
      <w:r>
        <w:rPr>
          <w:sz w:val="26"/>
        </w:rPr>
        <w:tab/>
        <w:t>Agreement for Purchase and Sale of Emission Reduction Credits by and between Aera and Pastoria dated as of April 14, 2000</w:t>
        <w:br/>
        <w:br/>
        <w:tab/>
        <w:tab/>
      </w:r>
      <w:r>
        <w:rPr>
          <w:b/>
          <w:sz w:val="26"/>
        </w:rPr>
        <w:t>iii.</w:t>
      </w:r>
      <w:r>
        <w:rPr>
          <w:sz w:val="26"/>
        </w:rPr>
        <w:tab/>
        <w:t xml:space="preserve">Letter from San Joaquin Valley Air Pollution Control District attaching Certificates purchased from Aera </w:t>
        <w:br/>
        <w:br/>
        <w:tab/>
      </w:r>
      <w:r>
        <w:rPr>
          <w:b/>
          <w:sz w:val="26"/>
        </w:rPr>
        <w:t>c.</w:t>
      </w:r>
      <w:r>
        <w:rPr>
          <w:sz w:val="26"/>
        </w:rPr>
        <w:tab/>
        <w:t>Chevron</w:t>
        <w:br/>
        <w:br/>
        <w:tab/>
        <w:tab/>
      </w:r>
      <w:r>
        <w:rPr>
          <w:b/>
          <w:sz w:val="26"/>
        </w:rPr>
        <w:t>i.</w:t>
      </w:r>
      <w:r>
        <w:rPr>
          <w:sz w:val="26"/>
        </w:rPr>
        <w:tab/>
        <w:t>Memorandum of Agreement</w:t>
        <w:br/>
        <w:br/>
        <w:tab/>
        <w:tab/>
      </w:r>
      <w:r>
        <w:rPr>
          <w:b/>
          <w:sz w:val="26"/>
        </w:rPr>
        <w:t>ii.</w:t>
      </w:r>
      <w:r>
        <w:rPr>
          <w:sz w:val="26"/>
        </w:rPr>
        <w:tab/>
        <w:t>Option Agreement by and between Chevron and Pastoria dated as of February 1, 2000</w:t>
        <w:br/>
        <w:br/>
        <w:tab/>
        <w:tab/>
      </w:r>
      <w:r>
        <w:rPr>
          <w:b/>
          <w:sz w:val="26"/>
        </w:rPr>
        <w:t>iii</w:t>
      </w:r>
      <w:r>
        <w:rPr>
          <w:sz w:val="26"/>
        </w:rPr>
        <w:tab/>
        <w:t xml:space="preserve">Letter dated February 7, 2000 from Pastoria to Chevron re:  Option Agreement between Chevron, as Seller; Pastoria, as Buyer; and Enron, as Guarantor </w:t>
        <w:br/>
        <w:br/>
        <w:tab/>
        <w:tab/>
      </w:r>
      <w:r>
        <w:rPr>
          <w:b/>
          <w:sz w:val="26"/>
        </w:rPr>
        <w:t>iv.</w:t>
      </w:r>
      <w:r>
        <w:rPr>
          <w:sz w:val="26"/>
        </w:rPr>
        <w:tab/>
        <w:t xml:space="preserve">Letter dated March 6, 2000 from Pastoria to Chevron re:  Option Exercise </w:t>
        <w:br/>
        <w:br/>
        <w:tab/>
        <w:tab/>
      </w:r>
      <w:r>
        <w:rPr>
          <w:b/>
          <w:sz w:val="26"/>
        </w:rPr>
        <w:t>v.</w:t>
      </w:r>
      <w:r>
        <w:rPr>
          <w:sz w:val="26"/>
        </w:rPr>
        <w:tab/>
        <w:t>Letter dated March 21, 2000 from San Joaquin Valley Air Pollution Control District to Chevron attaching Certificates purchased from Chevron</w:t>
        <w:br/>
        <w:br/>
        <w:tab/>
        <w:tab/>
      </w:r>
      <w:r>
        <w:rPr>
          <w:b/>
          <w:sz w:val="26"/>
        </w:rPr>
        <w:t>vi.</w:t>
      </w:r>
      <w:r>
        <w:rPr>
          <w:sz w:val="26"/>
        </w:rPr>
        <w:tab/>
        <w:t>Letter from Cantor Fitzgerald Brokerage, L.P. to Enron re:  Cantor Fitzgerald Fees dated February 8, 2000</w:t>
        <w:br/>
        <w:br/>
        <w:tab/>
      </w:r>
      <w:r>
        <w:rPr>
          <w:b/>
          <w:sz w:val="26"/>
        </w:rPr>
        <w:t>d.</w:t>
      </w:r>
      <w:r>
        <w:rPr>
          <w:sz w:val="26"/>
        </w:rPr>
        <w:tab/>
        <w:t>Oxy</w:t>
        <w:br/>
        <w:br/>
        <w:tab/>
        <w:tab/>
      </w:r>
      <w:r>
        <w:rPr>
          <w:b/>
          <w:sz w:val="26"/>
        </w:rPr>
        <w:t>i.</w:t>
      </w:r>
      <w:r>
        <w:rPr>
          <w:sz w:val="26"/>
        </w:rPr>
        <w:tab/>
        <w:t>Memorandum of Agreement</w:t>
        <w:br/>
        <w:br/>
        <w:tab/>
        <w:tab/>
      </w:r>
      <w:r>
        <w:rPr>
          <w:b/>
          <w:sz w:val="26"/>
        </w:rPr>
        <w:t>ii.</w:t>
      </w:r>
      <w:r>
        <w:rPr>
          <w:sz w:val="26"/>
        </w:rPr>
        <w:tab/>
        <w:t>Option Agreement by and among Oxy, Chevron and Enron dated as of May 1, 2000</w:t>
        <w:br/>
        <w:br/>
        <w:tab/>
        <w:tab/>
      </w:r>
      <w:r>
        <w:rPr>
          <w:b/>
          <w:sz w:val="26"/>
        </w:rPr>
        <w:t>iii.</w:t>
      </w:r>
      <w:r>
        <w:rPr>
          <w:sz w:val="26"/>
        </w:rPr>
        <w:tab/>
        <w:t xml:space="preserve">Form of Enron Guarantee dated May 1, 2000 </w:t>
        <w:br/>
        <w:br/>
        <w:tab/>
        <w:tab/>
      </w:r>
      <w:r>
        <w:rPr>
          <w:b/>
          <w:sz w:val="26"/>
        </w:rPr>
        <w:t>iv.</w:t>
      </w:r>
      <w:r>
        <w:rPr>
          <w:sz w:val="26"/>
        </w:rPr>
        <w:tab/>
        <w:t>Letter dated May23, 2000 from Occidental Oil and Gas Corporation to MDBE enclosing opinion letters from Occidental Oil and Gas Corporation dated May 23, 2000 and from Chevron U.S.A. Production Company dated May 1, 2000</w:t>
        <w:br/>
        <w:br/>
        <w:tab/>
        <w:tab/>
      </w:r>
      <w:r>
        <w:rPr>
          <w:b/>
          <w:sz w:val="26"/>
        </w:rPr>
        <w:t>v.</w:t>
      </w:r>
      <w:r>
        <w:rPr>
          <w:sz w:val="26"/>
        </w:rPr>
        <w:tab/>
        <w:t xml:space="preserve">Letter dated May 26, 2000 from Enron to Oxy and Chevron re:  Notice of Extension of Option Period </w:t>
        <w:br/>
        <w:br/>
        <w:tab/>
        <w:tab/>
      </w:r>
      <w:r>
        <w:rPr>
          <w:b/>
          <w:sz w:val="26"/>
        </w:rPr>
        <w:t>vi.</w:t>
      </w:r>
      <w:r>
        <w:rPr>
          <w:sz w:val="26"/>
        </w:rPr>
        <w:tab/>
        <w:t xml:space="preserve">Letter dated June 29, 2000 from Enron to Oxy and Chevron re:  Notice of Extension of Option Period </w:t>
        <w:br/>
        <w:br/>
        <w:tab/>
        <w:tab/>
      </w:r>
      <w:r>
        <w:rPr>
          <w:b/>
          <w:sz w:val="26"/>
        </w:rPr>
        <w:t>vii</w:t>
      </w:r>
      <w:r>
        <w:rPr>
          <w:sz w:val="26"/>
        </w:rPr>
        <w:t>.</w:t>
        <w:tab/>
        <w:t>Letter dated July __, 2000 from Enron to Oxy and Chevron Re:  Notice of Extension of Option Period</w:t>
        <w:br/>
        <w:br/>
        <w:tab/>
        <w:tab/>
      </w:r>
      <w:r>
        <w:rPr>
          <w:b/>
          <w:sz w:val="26"/>
        </w:rPr>
        <w:t>viii.</w:t>
      </w:r>
      <w:r>
        <w:rPr>
          <w:sz w:val="26"/>
        </w:rPr>
        <w:tab/>
        <w:t>Amendment No. 1 of Option Agreement effective from and after July 25, 2000</w:t>
        <w:br/>
        <w:br/>
        <w:tab/>
        <w:tab/>
      </w:r>
      <w:r>
        <w:rPr>
          <w:b/>
          <w:sz w:val="26"/>
        </w:rPr>
        <w:t>ix.</w:t>
      </w:r>
      <w:r>
        <w:rPr>
          <w:sz w:val="26"/>
        </w:rPr>
        <w:tab/>
        <w:t>Option Exercise dated August 29, 2000</w:t>
        <w:br/>
        <w:br/>
        <w:tab/>
      </w:r>
      <w:r>
        <w:rPr>
          <w:b/>
          <w:sz w:val="26"/>
        </w:rPr>
        <w:t>e.</w:t>
      </w:r>
      <w:r>
        <w:rPr>
          <w:sz w:val="26"/>
        </w:rPr>
        <w:tab/>
        <w:t>Ocean Air</w:t>
        <w:br/>
        <w:br/>
        <w:tab/>
        <w:tab/>
      </w:r>
      <w:r>
        <w:rPr>
          <w:b/>
          <w:sz w:val="26"/>
        </w:rPr>
        <w:t>i.</w:t>
      </w:r>
      <w:r>
        <w:rPr>
          <w:sz w:val="26"/>
        </w:rPr>
        <w:tab/>
        <w:t>Consulting Agreement by and between OceanAir Environmental, LLC (“OceanAir”) and Pastoria dated February 15, 2000</w:t>
        <w:br/>
        <w:br/>
        <w:tab/>
        <w:tab/>
      </w:r>
      <w:r>
        <w:rPr>
          <w:b/>
          <w:sz w:val="26"/>
        </w:rPr>
        <w:t>ii.</w:t>
      </w:r>
      <w:r>
        <w:rPr>
          <w:sz w:val="26"/>
        </w:rPr>
        <w:tab/>
        <w:t>Letter from Pastoria to OceanAir dated August 9, 2000 re:  Terminating Consulting Agreement</w:t>
        <w:br/>
        <w:br/>
        <w:tab/>
        <w:tab/>
      </w:r>
      <w:r>
        <w:rPr>
          <w:b/>
          <w:sz w:val="26"/>
        </w:rPr>
        <w:t>iii.</w:t>
      </w:r>
      <w:r>
        <w:rPr>
          <w:sz w:val="26"/>
        </w:rPr>
        <w:tab/>
        <w:t>Letter from OceanAir to Pastoria dated August 14, 2000 re:  Terminating Consulting Agreement</w:t>
        <w:br/>
        <w:br/>
      </w:r>
      <w:r>
        <w:rPr>
          <w:b/>
          <w:sz w:val="26"/>
        </w:rPr>
        <w:t>4.</w:t>
      </w:r>
      <w:r>
        <w:rPr>
          <w:sz w:val="26"/>
        </w:rPr>
        <w:tab/>
        <w:t>San Luis Obispo</w:t>
        <w:br/>
        <w:br/>
        <w:tab/>
      </w:r>
      <w:r>
        <w:rPr>
          <w:b/>
          <w:sz w:val="26"/>
        </w:rPr>
        <w:t>a.</w:t>
      </w:r>
      <w:r>
        <w:rPr>
          <w:sz w:val="26"/>
        </w:rPr>
        <w:tab/>
        <w:t>Agreement between San Luis Obispo County Air Pollution Control District and Pastoria dated July 31, 2000</w:t>
        <w:br/>
      </w:r>
    </w:p>
    <w:p>
      <w:pPr>
        <w:pStyle w:val="Normal"/>
        <w:numPr>
          <w:ilvl w:val="0"/>
          <w:numId w:val="1"/>
        </w:numPr>
        <w:tabs>
          <w:tab w:val="clear" w:pos="720"/>
        </w:tabs>
        <w:rPr>
          <w:b/>
          <w:sz w:val="26"/>
        </w:rPr>
      </w:pPr>
      <w:r>
        <w:rPr>
          <w:b/>
          <w:sz w:val="26"/>
        </w:rPr>
        <w:t>Labor</w:t>
        <w:br/>
        <w:br/>
        <w:t>1.</w:t>
      </w:r>
      <w:r>
        <w:rPr>
          <w:sz w:val="26"/>
        </w:rPr>
        <w:tab/>
        <w:t>Agreement by and between IBEW Local # 47, AFL-CIO and Pastoria as of March 9, 2000</w:t>
        <w:br/>
        <w:br/>
      </w:r>
      <w:r>
        <w:rPr>
          <w:b/>
          <w:sz w:val="26"/>
        </w:rPr>
        <w:t>2.</w:t>
      </w:r>
      <w:r>
        <w:rPr>
          <w:sz w:val="26"/>
        </w:rPr>
        <w:tab/>
        <w:t>Project Labor Agreement for Pastoria Power Project dated March 9, 2000</w:t>
        <w:br/>
        <w:br/>
      </w:r>
      <w:r>
        <w:rPr>
          <w:b/>
          <w:sz w:val="26"/>
        </w:rPr>
        <w:t>3.</w:t>
      </w:r>
      <w:r>
        <w:rPr>
          <w:sz w:val="26"/>
        </w:rPr>
        <w:tab/>
        <w:t>Maintenance Agreement for Pastoria Power Project dated March 9, 2000</w:t>
        <w:br/>
        <w:br/>
      </w:r>
      <w:r>
        <w:rPr>
          <w:b/>
          <w:sz w:val="26"/>
        </w:rPr>
        <w:t>4.</w:t>
      </w:r>
      <w:r>
        <w:rPr>
          <w:sz w:val="26"/>
        </w:rPr>
        <w:tab/>
        <w:t>Agreement accompanying the Project Labor Agreement and Maintenance Agreement for Pastoria</w:t>
        <w:br/>
        <w:br/>
      </w:r>
      <w:r>
        <w:rPr>
          <w:b/>
          <w:sz w:val="26"/>
        </w:rPr>
        <w:t>5.</w:t>
      </w:r>
      <w:r>
        <w:rPr>
          <w:sz w:val="26"/>
        </w:rPr>
        <w:tab/>
        <w:t>Side Letter accompanying the Project Labor Agreement and Maintenance Agreement for Pastoria dated March 7, 2000 from Southern California Pipe Trades District Council 16 to Enron</w:t>
        <w:br/>
        <w:br/>
      </w:r>
      <w:r>
        <w:rPr>
          <w:b/>
          <w:sz w:val="26"/>
        </w:rPr>
        <w:t>6.</w:t>
      </w:r>
      <w:r>
        <w:rPr>
          <w:sz w:val="26"/>
        </w:rPr>
        <w:tab/>
        <w:t xml:space="preserve">Side Letter accompanying the Project Labor Agreement for Pastoria dated March 9, 2000 from Enron to State Building &amp; Construction Trades Council of California </w:t>
      </w:r>
      <w:r>
        <w:rPr>
          <w:b/>
          <w:sz w:val="28"/>
        </w:rPr>
        <w:t>and</w:t>
      </w:r>
      <w:r>
        <w:rPr>
          <w:sz w:val="26"/>
        </w:rPr>
        <w:t xml:space="preserve"> Kern, Inyo and Mono Counties Building &amp; Construction Trades Council</w:t>
        <w:br/>
        <w:br/>
      </w:r>
      <w:r>
        <w:rPr>
          <w:b/>
          <w:sz w:val="26"/>
        </w:rPr>
        <w:t>7.</w:t>
        <w:tab/>
      </w:r>
      <w:r>
        <w:rPr>
          <w:sz w:val="26"/>
        </w:rPr>
        <w:t>Side Letter accompanying the Project Labor Agreement for Pastoria dated March 9, 2000 from Enron to I.B.E.W. Local #1245 (not signed)</w:t>
        <w:br/>
      </w:r>
    </w:p>
    <w:p>
      <w:pPr>
        <w:pStyle w:val="Normal"/>
        <w:numPr>
          <w:ilvl w:val="0"/>
          <w:numId w:val="1"/>
        </w:numPr>
        <w:tabs>
          <w:tab w:val="clear" w:pos="720"/>
        </w:tabs>
        <w:rPr>
          <w:b/>
          <w:sz w:val="26"/>
        </w:rPr>
      </w:pPr>
      <w:r>
        <w:rPr>
          <w:b/>
          <w:sz w:val="26"/>
        </w:rPr>
        <w:t>EPC Contract</w:t>
        <w:br/>
        <w:br/>
        <w:t>1.</w:t>
      </w:r>
      <w:r>
        <w:rPr>
          <w:sz w:val="26"/>
        </w:rPr>
        <w:tab/>
        <w:t>Draft</w:t>
      </w:r>
      <w:r>
        <w:rPr>
          <w:b/>
          <w:sz w:val="26"/>
        </w:rPr>
        <w:t xml:space="preserve"> </w:t>
      </w:r>
      <w:r>
        <w:rPr>
          <w:sz w:val="26"/>
        </w:rPr>
        <w:t>Engineering, Procurement and Construction Contract by and between Pastoria and Enron Consolidated Construction Company</w:t>
      </w:r>
      <w:r>
        <w:rPr>
          <w:b/>
          <w:sz w:val="26"/>
        </w:rPr>
        <w:br/>
      </w:r>
    </w:p>
    <w:p>
      <w:pPr>
        <w:pStyle w:val="Normal"/>
        <w:numPr>
          <w:ilvl w:val="0"/>
          <w:numId w:val="1"/>
        </w:numPr>
        <w:tabs>
          <w:tab w:val="clear" w:pos="720"/>
        </w:tabs>
        <w:rPr>
          <w:sz w:val="26"/>
        </w:rPr>
      </w:pPr>
      <w:r>
        <w:rPr>
          <w:b/>
          <w:sz w:val="26"/>
        </w:rPr>
        <w:t>Interconnect</w:t>
        <w:br/>
        <w:br/>
        <w:t>1.</w:t>
      </w:r>
      <w:r>
        <w:rPr>
          <w:sz w:val="26"/>
        </w:rPr>
        <w:tab/>
        <w:t>Transmission</w:t>
        <w:br/>
        <w:br/>
        <w:tab/>
      </w:r>
      <w:r>
        <w:rPr>
          <w:b/>
          <w:sz w:val="26"/>
        </w:rPr>
        <w:t>a.</w:t>
      </w:r>
      <w:r>
        <w:rPr>
          <w:sz w:val="26"/>
        </w:rPr>
        <w:tab/>
        <w:t>Letter from Southern California Edison Company to Pastoria dated August 9, 2000 enclosing Facility Study (Partial)</w:t>
      </w:r>
      <w:r>
        <w:rPr>
          <w:b/>
          <w:sz w:val="26"/>
        </w:rPr>
        <w:br/>
        <w:br/>
        <w:tab/>
        <w:t>b.</w:t>
        <w:tab/>
      </w:r>
      <w:r>
        <w:rPr>
          <w:sz w:val="26"/>
        </w:rPr>
        <w:t>Pastoria – Southern California Edison Company Transmission Owner Tariff Facilities Study Agreement dated February 7, 2000</w:t>
        <w:br/>
        <w:br/>
        <w:tab/>
      </w:r>
      <w:r>
        <w:rPr>
          <w:b/>
          <w:sz w:val="26"/>
        </w:rPr>
        <w:t>c.</w:t>
      </w:r>
      <w:r>
        <w:rPr>
          <w:sz w:val="26"/>
        </w:rPr>
        <w:tab/>
        <w:t>California ISO, Testimony of Catalin M. Micsa to CEC, dated September 7, 2000</w:t>
        <w:br/>
      </w:r>
    </w:p>
    <w:p>
      <w:pPr>
        <w:pStyle w:val="Normal"/>
        <w:numPr>
          <w:ilvl w:val="0"/>
          <w:numId w:val="1"/>
        </w:numPr>
        <w:tabs>
          <w:tab w:val="clear" w:pos="720"/>
        </w:tabs>
        <w:rPr>
          <w:sz w:val="26"/>
        </w:rPr>
      </w:pPr>
      <w:r>
        <w:rPr>
          <w:b/>
          <w:sz w:val="26"/>
        </w:rPr>
        <w:t>Turbines</w:t>
        <w:br/>
        <w:br/>
        <w:t>1.</w:t>
      </w:r>
      <w:r>
        <w:rPr>
          <w:sz w:val="26"/>
        </w:rPr>
        <w:tab/>
        <w:t>2 Train Contract</w:t>
        <w:br/>
        <w:br/>
        <w:tab/>
      </w:r>
      <w:r>
        <w:rPr>
          <w:b/>
          <w:sz w:val="26"/>
        </w:rPr>
        <w:t>a.</w:t>
      </w:r>
      <w:r>
        <w:rPr>
          <w:sz w:val="26"/>
        </w:rPr>
        <w:tab/>
        <w:t>Agreement for Combined Cycle Power Islands by and between Westdeutsche Landesbank Girozentrale, New York Bank (along with Enron) and General Electric dated May 1, 2000</w:t>
        <w:br/>
        <w:br/>
      </w:r>
      <w:r>
        <w:rPr>
          <w:b/>
          <w:sz w:val="26"/>
        </w:rPr>
        <w:t>2.</w:t>
      </w:r>
      <w:r>
        <w:rPr>
          <w:sz w:val="26"/>
        </w:rPr>
        <w:tab/>
        <w:t>1 Train Contract</w:t>
        <w:br/>
        <w:br/>
        <w:tab/>
      </w:r>
      <w:r>
        <w:rPr>
          <w:b/>
          <w:sz w:val="26"/>
        </w:rPr>
        <w:t>a.</w:t>
      </w:r>
      <w:r>
        <w:rPr>
          <w:sz w:val="26"/>
        </w:rPr>
        <w:tab/>
        <w:t>Draft Agreement for Combined Cycle Power Island by and between Westdeutsche Landesbank Girozentrale, New York Bank (along with Enron) and General Electric</w:t>
      </w:r>
    </w:p>
    <w:p>
      <w:pPr>
        <w:pStyle w:val="Normal"/>
        <w:ind w:start="720" w:end="0"/>
        <w:rPr/>
      </w:pPr>
      <w:r>
        <w:rPr>
          <w:sz w:val="26"/>
        </w:rPr>
        <w:br/>
        <w:br/>
      </w:r>
      <w:r>
        <w:rPr>
          <w:b/>
          <w:sz w:val="26"/>
        </w:rPr>
        <w:t>3.</w:t>
        <w:tab/>
      </w:r>
      <w:r>
        <w:rPr>
          <w:sz w:val="26"/>
        </w:rPr>
        <w:t>Agreement in Principle by and between Westdeutsche Landesbank Girozentrale, New York Bank (along with Enron) and General Electric</w:t>
        <w:br/>
      </w:r>
    </w:p>
    <w:p>
      <w:pPr>
        <w:pStyle w:val="Normal"/>
        <w:numPr>
          <w:ilvl w:val="0"/>
          <w:numId w:val="1"/>
        </w:numPr>
        <w:tabs>
          <w:tab w:val="clear" w:pos="720"/>
        </w:tabs>
        <w:rPr>
          <w:sz w:val="26"/>
        </w:rPr>
      </w:pPr>
      <w:r>
        <w:rPr>
          <w:b/>
          <w:sz w:val="26"/>
        </w:rPr>
        <w:t>CEC</w:t>
        <w:br/>
        <w:br/>
        <w:t>1.</w:t>
      </w:r>
      <w:r>
        <w:rPr>
          <w:sz w:val="26"/>
        </w:rPr>
        <w:tab/>
        <w:t>Final Staff Assessment</w:t>
        <w:br/>
        <w:br/>
      </w:r>
      <w:r>
        <w:rPr>
          <w:b/>
          <w:sz w:val="26"/>
        </w:rPr>
        <w:t>2.</w:t>
      </w:r>
      <w:r>
        <w:rPr>
          <w:sz w:val="26"/>
        </w:rPr>
        <w:tab/>
        <w:t>Biological Resources</w:t>
        <w:br/>
        <w:br/>
        <w:tab/>
      </w:r>
      <w:r>
        <w:rPr>
          <w:b/>
          <w:sz w:val="26"/>
        </w:rPr>
        <w:t>a.</w:t>
      </w:r>
      <w:r>
        <w:rPr>
          <w:sz w:val="26"/>
        </w:rPr>
        <w:tab/>
        <w:t>Pastoria Biological Assessment Materials compiled for the United States Environmental Protection Agency dated August 2000</w:t>
        <w:br/>
        <w:br/>
      </w:r>
      <w:r>
        <w:rPr>
          <w:b/>
          <w:sz w:val="26"/>
        </w:rPr>
        <w:t>3.</w:t>
      </w:r>
      <w:r>
        <w:rPr>
          <w:sz w:val="26"/>
        </w:rPr>
        <w:tab/>
        <w:t>Paleontological Resources</w:t>
        <w:br/>
        <w:br/>
        <w:tab/>
      </w:r>
      <w:r>
        <w:rPr>
          <w:b/>
          <w:sz w:val="26"/>
        </w:rPr>
        <w:t>a.</w:t>
      </w:r>
      <w:r>
        <w:rPr>
          <w:sz w:val="26"/>
        </w:rPr>
        <w:tab/>
        <w:t>Paleontological Resources Technical Report (Appendix K) prepared for California Energy Commission November 1, 1999</w:t>
        <w:br/>
        <w:br/>
      </w:r>
      <w:r>
        <w:rPr>
          <w:b/>
          <w:sz w:val="26"/>
        </w:rPr>
        <w:t>4.</w:t>
      </w:r>
      <w:r>
        <w:rPr>
          <w:sz w:val="26"/>
        </w:rPr>
        <w:tab/>
        <w:t>Cultural Resources</w:t>
        <w:br/>
        <w:br/>
        <w:tab/>
      </w:r>
      <w:r>
        <w:rPr>
          <w:b/>
          <w:sz w:val="26"/>
        </w:rPr>
        <w:t>a.</w:t>
      </w:r>
      <w:r>
        <w:rPr>
          <w:sz w:val="26"/>
        </w:rPr>
        <w:tab/>
        <w:t>Cultural Resources Test Plan prepared for Pastoria for submittal to California Energy Commission dated March, 2000</w:t>
        <w:br/>
        <w:br/>
        <w:tab/>
      </w:r>
      <w:r>
        <w:rPr>
          <w:b/>
          <w:sz w:val="26"/>
        </w:rPr>
        <w:t>b.</w:t>
      </w:r>
      <w:r>
        <w:rPr>
          <w:sz w:val="26"/>
        </w:rPr>
        <w:tab/>
        <w:t>Cultural Resources Technical Report (Appendix J) including Cultural Resources Literature Review/Field Survey/Site Records prepared for California Energy Commission dated November 1, 1999</w:t>
        <w:br/>
        <w:br/>
        <w:tab/>
      </w:r>
      <w:r>
        <w:rPr>
          <w:b/>
          <w:sz w:val="26"/>
        </w:rPr>
        <w:t>c.</w:t>
      </w:r>
      <w:r>
        <w:rPr>
          <w:sz w:val="26"/>
        </w:rPr>
        <w:tab/>
        <w:t>Final Results:  Cultural Resources Testing for the Pastoria Energy Facility prepared for Pastoria for submittal to California Energy Commission dated May, 2000</w:t>
        <w:br/>
      </w:r>
    </w:p>
    <w:p>
      <w:pPr>
        <w:pStyle w:val="Normal"/>
        <w:numPr>
          <w:ilvl w:val="0"/>
          <w:numId w:val="1"/>
        </w:numPr>
        <w:tabs>
          <w:tab w:val="clear" w:pos="720"/>
        </w:tabs>
        <w:rPr>
          <w:sz w:val="26"/>
        </w:rPr>
      </w:pPr>
      <w:r>
        <w:rPr>
          <w:b/>
          <w:sz w:val="26"/>
        </w:rPr>
        <w:t>Water</w:t>
        <w:br/>
        <w:br/>
        <w:t>1.</w:t>
      </w:r>
      <w:r>
        <w:rPr>
          <w:sz w:val="26"/>
        </w:rPr>
        <w:tab/>
        <w:t>Water Supply and Management Contract between Azurix</w:t>
        <w:noBreakHyphen/>
        <w:t>Pastoria, Inc. and Pastoria dated June 30, 2000</w:t>
        <w:br/>
        <w:br/>
      </w:r>
      <w:r>
        <w:rPr>
          <w:b/>
          <w:sz w:val="26"/>
        </w:rPr>
        <w:t>2.</w:t>
      </w:r>
      <w:r>
        <w:rPr>
          <w:sz w:val="26"/>
        </w:rPr>
        <w:tab/>
        <w:t>Letter Agreement dated June 30, 2000 between Pastoria and Azurix</w:t>
        <w:noBreakHyphen/>
        <w:t>Pastoria, Inc. re:  Pastoria Project - Water Supply and Management Contract</w:t>
        <w:br/>
        <w:br/>
      </w:r>
      <w:r>
        <w:rPr>
          <w:b/>
          <w:sz w:val="26"/>
        </w:rPr>
        <w:t>3.</w:t>
      </w:r>
      <w:r>
        <w:rPr>
          <w:sz w:val="26"/>
        </w:rPr>
        <w:tab/>
        <w:t>Letter from Westside Mutual Water Company to Committee for Pastoria - California Energy Commission re:  Water Plan for Pastoria Docket No. 99-AFC-7</w:t>
        <w:br/>
        <w:br/>
      </w:r>
      <w:r>
        <w:rPr>
          <w:b/>
          <w:sz w:val="26"/>
        </w:rPr>
        <w:t>4.</w:t>
      </w:r>
      <w:r>
        <w:rPr>
          <w:sz w:val="26"/>
        </w:rPr>
        <w:tab/>
        <w:t>Letter from Kern County Water Agency to Committee for Pastoria - California Energy Commission re:  Water Plan for Pastoria Docket No. 99</w:t>
        <w:noBreakHyphen/>
        <w:t>AFC-7 dated June 30, 2000</w:t>
        <w:br/>
        <w:br/>
      </w:r>
      <w:r>
        <w:rPr>
          <w:b/>
          <w:sz w:val="26"/>
        </w:rPr>
        <w:t>5.</w:t>
      </w:r>
      <w:r>
        <w:rPr>
          <w:sz w:val="26"/>
        </w:rPr>
        <w:tab/>
        <w:t>Amending Rules and Regulations for Distribution of Water – Resolution No. 2000-07 dated April 12, 2000 (not signed)</w:t>
        <w:br/>
        <w:br/>
      </w:r>
      <w:r>
        <w:rPr>
          <w:b/>
          <w:sz w:val="26"/>
        </w:rPr>
        <w:t>6.</w:t>
      </w:r>
      <w:r>
        <w:rPr>
          <w:sz w:val="26"/>
        </w:rPr>
        <w:tab/>
        <w:t>Letter Agreement between Wheeler Ridge-Maricopa Water Storage District and Pastoria dated June 22, 2000 re:  Pastoria Project (including proposed Industrial Water Service Contract)</w:t>
        <w:br/>
        <w:br/>
      </w:r>
      <w:r>
        <w:rPr>
          <w:b/>
          <w:sz w:val="26"/>
        </w:rPr>
        <w:t>7.</w:t>
      </w:r>
      <w:r>
        <w:rPr>
          <w:sz w:val="26"/>
        </w:rPr>
        <w:tab/>
        <w:t xml:space="preserve">Judgment validating Contract and Proceedings filed with Kern County on August 28, 2000 – Wheeler Ridge-Maricopa Water Storage District, Plaintiff </w:t>
      </w:r>
      <w:r>
        <w:rPr>
          <w:sz w:val="28"/>
        </w:rPr>
        <w:t>and</w:t>
      </w:r>
      <w:r>
        <w:rPr>
          <w:sz w:val="26"/>
        </w:rPr>
        <w:t xml:space="preserve"> All persons interested, etc., Defendants</w:t>
        <w:br/>
        <w:br/>
      </w:r>
      <w:r>
        <w:rPr>
          <w:b/>
          <w:sz w:val="26"/>
        </w:rPr>
        <w:t>8.</w:t>
      </w:r>
      <w:r>
        <w:rPr>
          <w:sz w:val="26"/>
        </w:rPr>
        <w:tab/>
        <w:t>Letter dated June 30, 2000 from Azurix</w:t>
        <w:noBreakHyphen/>
        <w:t>Pastoria, Inc. to Westside Mutual Water Company, LLC re:  Option for Backup Water Supply</w:t>
        <w:br/>
      </w:r>
    </w:p>
    <w:p>
      <w:pPr>
        <w:pStyle w:val="Normal"/>
        <w:numPr>
          <w:ilvl w:val="0"/>
          <w:numId w:val="1"/>
        </w:numPr>
        <w:tabs>
          <w:tab w:val="clear" w:pos="720"/>
        </w:tabs>
        <w:rPr>
          <w:sz w:val="26"/>
        </w:rPr>
      </w:pPr>
      <w:r>
        <w:rPr>
          <w:b/>
          <w:sz w:val="26"/>
        </w:rPr>
        <w:t>Miscellaneous</w:t>
        <w:br/>
        <w:br/>
        <w:t>1.</w:t>
        <w:tab/>
      </w:r>
      <w:r>
        <w:rPr>
          <w:sz w:val="26"/>
        </w:rPr>
        <w:t>Preliminary</w:t>
      </w:r>
      <w:r>
        <w:rPr>
          <w:b/>
          <w:sz w:val="26"/>
        </w:rPr>
        <w:t xml:space="preserve"> </w:t>
      </w:r>
      <w:r>
        <w:rPr>
          <w:sz w:val="26"/>
        </w:rPr>
        <w:t>Geotechnical Investigation Report prepared by URS Greiner Woodward Clyde dated January, 2000</w:t>
      </w:r>
      <w:r>
        <w:rPr>
          <w:b/>
          <w:sz w:val="26"/>
        </w:rPr>
        <w:br/>
        <w:br/>
        <w:t>2.</w:t>
        <w:tab/>
      </w:r>
      <w:r>
        <w:rPr>
          <w:sz w:val="26"/>
        </w:rPr>
        <w:t>Nationwide Permit Notification Corps of Engineers 404 Permit – prepared for Pastoria August 2000</w:t>
      </w:r>
      <w:r>
        <w:rPr>
          <w:b/>
          <w:sz w:val="26"/>
        </w:rPr>
        <w:br/>
        <w:br/>
        <w:t>3.</w:t>
        <w:tab/>
      </w:r>
      <w:r>
        <w:rPr>
          <w:sz w:val="26"/>
        </w:rPr>
        <w:t>Clauses from Tejon Ranch Memorandum of Agreement with US FWS</w:t>
      </w:r>
      <w:r>
        <w:rPr>
          <w:b/>
          <w:sz w:val="26"/>
          <w:u w:val="single"/>
        </w:rPr>
        <w:br/>
        <w:br/>
      </w:r>
      <w:r>
        <w:rPr>
          <w:b/>
          <w:sz w:val="26"/>
        </w:rPr>
        <w:t>4.</w:t>
        <w:tab/>
      </w:r>
      <w:r>
        <w:rPr>
          <w:sz w:val="26"/>
        </w:rPr>
        <w:t>Consulting Services Agreement by and among a joint venture consisting of Allan J. Thompson and Patch Incorporated on the one hand and Pastoria on the other hand dated April 30, 1999</w:t>
        <w:br/>
        <w:br/>
      </w:r>
      <w:r>
        <w:rPr>
          <w:b/>
          <w:sz w:val="26"/>
        </w:rPr>
        <w:t>5.</w:t>
        <w:tab/>
      </w:r>
      <w:r>
        <w:rPr>
          <w:sz w:val="26"/>
        </w:rPr>
        <w:t>Acknowledgement and Waiver by URS Greiner Woodward Clyde International Americas, Inc. dated April 30, 1999</w:t>
        <w:br/>
      </w:r>
      <w:r>
        <w:rPr>
          <w:b/>
          <w:sz w:val="26"/>
        </w:rPr>
        <w:br/>
        <w:t>6.</w:t>
        <w:tab/>
      </w:r>
      <w:r>
        <w:rPr>
          <w:sz w:val="26"/>
        </w:rPr>
        <w:t>Notice of Proposed Construction or Alteration dated September 12, 2000</w:t>
        <w:br/>
        <w:br/>
      </w:r>
      <w:r>
        <w:rPr>
          <w:b/>
          <w:sz w:val="26"/>
        </w:rPr>
        <w:t>7.</w:t>
      </w:r>
      <w:r>
        <w:rPr>
          <w:sz w:val="26"/>
        </w:rPr>
        <w:tab/>
        <w:t xml:space="preserve">Other </w:t>
      </w:r>
    </w:p>
    <w:sectPr>
      <w:headerReference w:type="default" r:id="rId2"/>
      <w:footerReference w:type="default" r:id="rId3"/>
      <w:type w:val="nextPage"/>
      <w:pgSz w:w="12240" w:h="15840"/>
      <w:pgMar w:left="1800" w:right="1800" w:gutter="0" w:header="720" w:top="1728"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9</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0"/>
        <w:u w:val="single"/>
      </w:rPr>
    </w:pPr>
    <w:r>
      <w:rPr>
        <w:b/>
        <w:sz w:val="30"/>
        <w:u w:val="single"/>
      </w:rPr>
      <w:t>EXTERNAL DUE DILIGENCE INDEX</w:t>
    </w:r>
  </w:p>
  <w:p>
    <w:pPr>
      <w:pStyle w:val="Header"/>
      <w:jc w:val="center"/>
      <w:rPr>
        <w:b/>
        <w:sz w:val="30"/>
        <w:u w:val="single"/>
      </w:rPr>
    </w:pPr>
    <w:r>
      <w:rPr>
        <w:b/>
        <w:sz w:val="30"/>
        <w:u w:val="single"/>
      </w:rPr>
      <w:t>Pastoria Energy Facility, L.L.C.</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2000-09-15T22:53:00Z</dcterms:created>
  <dc:creator>MDBE</dc:creator>
  <dc:description/>
  <dc:language>en-CA</dc:language>
  <cp:lastModifiedBy>Jinsung Myung</cp:lastModifiedBy>
  <cp:lastPrinted>2000-09-15T13:15:00Z</cp:lastPrinted>
  <dcterms:modified xsi:type="dcterms:W3CDTF">2000-09-15T22:57:00Z</dcterms:modified>
  <cp:revision>3</cp:revision>
  <dc:subject/>
  <dc:title>A</dc:title>
</cp:coreProperties>
</file>