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448"/>
        <w:gridCol w:w="4500"/>
        <w:gridCol w:w="2520"/>
      </w:tblGrid>
      <w:tr>
        <w:trPr/>
        <w:tc>
          <w:tcPr>
            <w:tcW w:w="2448" w:type="dxa"/>
            <w:tcBorders/>
          </w:tcPr>
          <w:p>
            <w:pPr>
              <w:pStyle w:val="Heading"/>
              <w:rPr>
                <w:sz w:val="19"/>
                <w:szCs w:val="19"/>
              </w:rPr>
            </w:pPr>
            <w:r>
              <w:rPr>
                <w:sz w:val="20"/>
                <w:szCs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5375" cy="1124585"/>
                          </a:xfrm>
                          <a:prstGeom prst="rect">
                            <a:avLst/>
                          </a:prstGeom>
                          <a:noFill/>
                        </pic:spPr>
                      </pic:pic>
                    </a:graphicData>
                  </a:graphic>
                </wp:inline>
              </w:drawing>
            </w:r>
          </w:p>
          <w:p>
            <w:pPr>
              <w:pStyle w:val="Normal"/>
              <w:spacing w:before="20" w:after="0"/>
              <w:rPr>
                <w:rFonts w:ascii="Arial;Arial" w:hAnsi="Arial;Arial" w:eastAsia="Arial;Arial" w:cs="Arial;Arial"/>
                <w:sz w:val="19"/>
                <w:szCs w:val="19"/>
              </w:rPr>
            </w:pPr>
            <w:r>
              <w:rPr>
                <w:rFonts w:eastAsia="Arial;Arial" w:cs="Arial;Arial" w:ascii="Arial;Arial" w:hAnsi="Arial;Arial"/>
                <w:sz w:val="19"/>
                <w:szCs w:val="19"/>
              </w:rPr>
            </w:r>
          </w:p>
        </w:tc>
        <w:tc>
          <w:tcPr>
            <w:tcW w:w="4500" w:type="dxa"/>
            <w:tcBorders/>
          </w:tcPr>
          <w:p>
            <w:pPr>
              <w:pStyle w:val="Subtitle"/>
              <w:snapToGrid w:val="false"/>
              <w:rPr>
                <w:rFonts w:ascii="Arial;Arial" w:hAnsi="Arial;Arial" w:eastAsia="Arial;Arial" w:cs="Arial;Arial"/>
                <w:sz w:val="19"/>
                <w:szCs w:val="19"/>
              </w:rPr>
            </w:pPr>
            <w:r>
              <w:rPr>
                <w:rFonts w:eastAsia="Arial;Arial" w:cs="Arial;Arial"/>
                <w:sz w:val="19"/>
                <w:szCs w:val="19"/>
              </w:rPr>
            </w:r>
          </w:p>
        </w:tc>
        <w:tc>
          <w:tcPr>
            <w:tcW w:w="2520" w:type="dxa"/>
            <w:tcBorders/>
          </w:tcPr>
          <w:p>
            <w:pPr>
              <w:pStyle w:val="Heading1"/>
              <w:snapToGrid w:val="false"/>
              <w:ind w:hanging="0" w:start="0"/>
              <w:rPr>
                <w:rFonts w:ascii="Arial;Arial" w:hAnsi="Arial;Arial" w:eastAsia="Arial;Arial" w:cs="Arial;Arial"/>
                <w:sz w:val="19"/>
                <w:szCs w:val="19"/>
              </w:rPr>
            </w:pPr>
            <w:r>
              <w:rPr>
                <w:rFonts w:eastAsia="Arial;Arial" w:cs="Arial;Arial" w:ascii="Arial;Arial" w:hAnsi="Arial;Arial"/>
                <w:sz w:val="19"/>
                <w:szCs w:val="19"/>
              </w:rPr>
            </w:r>
          </w:p>
          <w:p>
            <w:pPr>
              <w:pStyle w:val="Heading1"/>
              <w:ind w:hanging="0" w:start="0"/>
              <w:rPr>
                <w:rFonts w:ascii="Arial;Arial" w:hAnsi="Arial;Arial" w:eastAsia="Arial;Arial" w:cs="Arial;Arial"/>
                <w:sz w:val="19"/>
                <w:szCs w:val="19"/>
              </w:rPr>
            </w:pPr>
            <w:r>
              <w:rPr>
                <w:rFonts w:eastAsia="Arial;Arial" w:cs="Arial;Arial" w:ascii="Arial;Arial" w:hAnsi="Arial;Arial"/>
                <w:sz w:val="19"/>
                <w:szCs w:val="19"/>
              </w:rPr>
            </w:r>
          </w:p>
          <w:p>
            <w:pPr>
              <w:pStyle w:val="Heading1"/>
              <w:ind w:hanging="0" w:start="0"/>
              <w:rPr>
                <w:rFonts w:ascii="Arial;Arial" w:hAnsi="Arial;Arial" w:eastAsia="Arial;Arial" w:cs="Arial;Arial"/>
                <w:sz w:val="19"/>
                <w:szCs w:val="19"/>
              </w:rPr>
            </w:pPr>
            <w:r>
              <w:rPr>
                <w:rFonts w:eastAsia="Arial;Arial" w:cs="Arial;Arial" w:ascii="Arial;Arial" w:hAnsi="Arial;Arial"/>
                <w:sz w:val="19"/>
                <w:szCs w:val="19"/>
              </w:rPr>
            </w:r>
          </w:p>
        </w:tc>
      </w:tr>
    </w:tbl>
    <w:p>
      <w:pPr>
        <w:pStyle w:val="Normal"/>
        <w:pBdr>
          <w:top w:val="double" w:sz="12" w:space="1" w:color="000000"/>
        </w:pBdr>
        <w:jc w:val="center"/>
        <w:rPr>
          <w:rFonts w:ascii="Arial;Arial" w:hAnsi="Arial;Arial" w:eastAsia="Arial;Arial" w:cs="Arial;Arial"/>
          <w:b/>
          <w:bCs/>
          <w:sz w:val="19"/>
          <w:szCs w:val="19"/>
        </w:rPr>
      </w:pPr>
      <w:r>
        <w:rPr>
          <w:rFonts w:eastAsia="Arial;Arial" w:cs="Arial;Arial" w:ascii="Arial;Arial" w:hAnsi="Arial;Arial"/>
          <w:b/>
          <w:bCs/>
          <w:sz w:val="19"/>
          <w:szCs w:val="19"/>
        </w:rPr>
        <w:t>PRIVILEGED AND CONFIDENTIAL</w:t>
      </w:r>
    </w:p>
    <w:p>
      <w:pPr>
        <w:pStyle w:val="Normal"/>
        <w:pBdr>
          <w:top w:val="double" w:sz="12" w:space="1" w:color="000000"/>
        </w:pBdr>
        <w:jc w:val="center"/>
        <w:rPr>
          <w:rFonts w:ascii="Arial;Arial" w:hAnsi="Arial;Arial" w:eastAsia="Arial;Arial" w:cs="Arial;Arial"/>
          <w:b/>
          <w:bCs/>
          <w:sz w:val="19"/>
          <w:szCs w:val="19"/>
        </w:rPr>
      </w:pPr>
      <w:r>
        <w:rPr>
          <w:rFonts w:eastAsia="Arial;Arial" w:cs="Arial;Arial" w:ascii="Arial;Arial" w:hAnsi="Arial;Arial"/>
          <w:b/>
          <w:bCs/>
          <w:sz w:val="19"/>
          <w:szCs w:val="19"/>
        </w:rPr>
      </w:r>
    </w:p>
    <w:tbl>
      <w:tblPr>
        <w:tblW w:w="8748" w:type="dxa"/>
        <w:jc w:val="start"/>
        <w:tblInd w:w="0" w:type="dxa"/>
        <w:tblLayout w:type="fixed"/>
        <w:tblCellMar>
          <w:top w:w="0" w:type="dxa"/>
          <w:start w:w="108" w:type="dxa"/>
          <w:bottom w:w="0" w:type="dxa"/>
          <w:end w:w="108" w:type="dxa"/>
        </w:tblCellMar>
      </w:tblPr>
      <w:tblGrid>
        <w:gridCol w:w="1908"/>
        <w:gridCol w:w="2430"/>
        <w:gridCol w:w="2070"/>
        <w:gridCol w:w="1890"/>
        <w:gridCol w:w="450"/>
      </w:tblGrid>
      <w:tr>
        <w:trPr/>
        <w:tc>
          <w:tcPr>
            <w:tcW w:w="1908" w:type="dxa"/>
            <w:tcBorders/>
          </w:tcPr>
          <w:p>
            <w:pPr>
              <w:pStyle w:val="Normal"/>
              <w:spacing w:before="0" w:after="120"/>
              <w:jc w:val="both"/>
              <w:rPr>
                <w:rFonts w:ascii="Arial;Arial" w:hAnsi="Arial;Arial" w:eastAsia="Arial;Arial" w:cs="Arial;Arial"/>
                <w:sz w:val="19"/>
                <w:szCs w:val="19"/>
              </w:rPr>
            </w:pPr>
            <w:r>
              <w:rPr>
                <w:rFonts w:eastAsia="Arial;Arial" w:cs="Arial;Arial" w:ascii="Arial;Arial" w:hAnsi="Arial;Arial"/>
                <w:b/>
                <w:bCs/>
                <w:sz w:val="19"/>
                <w:szCs w:val="19"/>
              </w:rPr>
              <w:t>TO:</w:t>
            </w:r>
          </w:p>
        </w:tc>
        <w:tc>
          <w:tcPr>
            <w:tcW w:w="2430" w:type="dxa"/>
            <w:tcBorders/>
          </w:tcPr>
          <w:p>
            <w:pPr>
              <w:pStyle w:val="Normal"/>
              <w:jc w:val="both"/>
              <w:rPr>
                <w:rFonts w:ascii="Arial;Arial" w:hAnsi="Arial;Arial" w:eastAsia="Arial;Arial" w:cs="Arial;Arial"/>
                <w:sz w:val="19"/>
                <w:szCs w:val="19"/>
              </w:rPr>
            </w:pPr>
            <w:r>
              <w:rPr>
                <w:rFonts w:eastAsia="Arial;Arial" w:cs="Arial;Arial" w:ascii="Arial;Arial" w:hAnsi="Arial;Arial"/>
                <w:sz w:val="19"/>
                <w:szCs w:val="19"/>
              </w:rPr>
              <w:t>Mark Haedicke</w:t>
            </w:r>
          </w:p>
          <w:p>
            <w:pPr>
              <w:pStyle w:val="Normal"/>
              <w:jc w:val="both"/>
              <w:rPr>
                <w:rFonts w:ascii="Arial;Arial" w:hAnsi="Arial;Arial" w:eastAsia="Arial;Arial" w:cs="Arial;Arial"/>
                <w:sz w:val="19"/>
                <w:szCs w:val="19"/>
              </w:rPr>
            </w:pPr>
            <w:r>
              <w:rPr>
                <w:rFonts w:eastAsia="Arial;Arial" w:cs="Arial;Arial" w:ascii="Arial;Arial" w:hAnsi="Arial;Arial"/>
                <w:sz w:val="19"/>
                <w:szCs w:val="19"/>
              </w:rPr>
              <w:t>Chris Calger</w:t>
            </w:r>
          </w:p>
          <w:p>
            <w:pPr>
              <w:pStyle w:val="Normal"/>
              <w:jc w:val="both"/>
              <w:rPr>
                <w:rFonts w:ascii="Arial;Arial" w:hAnsi="Arial;Arial" w:eastAsia="Arial;Arial" w:cs="Arial;Arial"/>
                <w:sz w:val="19"/>
                <w:szCs w:val="19"/>
              </w:rPr>
            </w:pPr>
            <w:r>
              <w:rPr>
                <w:rFonts w:eastAsia="Arial;Arial" w:cs="Arial;Arial" w:ascii="Arial;Arial" w:hAnsi="Arial;Arial"/>
                <w:sz w:val="19"/>
                <w:szCs w:val="19"/>
              </w:rPr>
            </w:r>
          </w:p>
        </w:tc>
        <w:tc>
          <w:tcPr>
            <w:tcW w:w="2070" w:type="dxa"/>
            <w:tcBorders/>
          </w:tcPr>
          <w:p>
            <w:pPr>
              <w:pStyle w:val="Normal"/>
              <w:spacing w:before="0" w:after="120"/>
              <w:jc w:val="both"/>
              <w:rPr>
                <w:rFonts w:ascii="Arial;Arial" w:hAnsi="Arial;Arial" w:eastAsia="Arial;Arial" w:cs="Arial;Arial"/>
                <w:sz w:val="19"/>
                <w:szCs w:val="19"/>
              </w:rPr>
            </w:pPr>
            <w:r>
              <w:rPr>
                <w:rFonts w:eastAsia="Arial;Arial" w:cs="Arial;Arial" w:ascii="Arial;Arial" w:hAnsi="Arial;Arial"/>
                <w:b/>
                <w:bCs/>
                <w:sz w:val="19"/>
                <w:szCs w:val="19"/>
              </w:rPr>
              <w:t>DATE:</w:t>
            </w:r>
          </w:p>
        </w:tc>
        <w:tc>
          <w:tcPr>
            <w:tcW w:w="2340" w:type="dxa"/>
            <w:gridSpan w:val="2"/>
            <w:tcBorders/>
          </w:tcPr>
          <w:p>
            <w:pPr>
              <w:pStyle w:val="Normal"/>
              <w:spacing w:before="0" w:after="120"/>
              <w:jc w:val="both"/>
              <w:rPr>
                <w:rFonts w:ascii="Arial;Arial" w:hAnsi="Arial;Arial" w:eastAsia="Arial;Arial" w:cs="Arial;Arial"/>
                <w:sz w:val="19"/>
                <w:szCs w:val="19"/>
              </w:rPr>
            </w:pPr>
            <w:r>
              <w:rPr>
                <w:rFonts w:eastAsia="Arial;Arial" w:cs="Arial;Arial" w:ascii="Arial;Arial" w:hAnsi="Arial;Arial"/>
                <w:sz w:val="19"/>
                <w:szCs w:val="19"/>
              </w:rPr>
              <w:t>March 7, 2001</w:t>
            </w:r>
          </w:p>
        </w:tc>
      </w:tr>
      <w:tr>
        <w:trPr/>
        <w:tc>
          <w:tcPr>
            <w:tcW w:w="1908" w:type="dxa"/>
            <w:tcBorders/>
          </w:tcPr>
          <w:p>
            <w:pPr>
              <w:pStyle w:val="Normal"/>
              <w:spacing w:before="120" w:after="240"/>
              <w:jc w:val="both"/>
              <w:rPr>
                <w:rFonts w:ascii="Arial;Arial" w:hAnsi="Arial;Arial" w:eastAsia="Arial;Arial" w:cs="Arial;Arial"/>
                <w:sz w:val="19"/>
                <w:szCs w:val="19"/>
              </w:rPr>
            </w:pPr>
            <w:r>
              <w:rPr>
                <w:rFonts w:eastAsia="Arial;Arial" w:cs="Arial;Arial" w:ascii="Arial;Arial" w:hAnsi="Arial;Arial"/>
                <w:b/>
                <w:bCs/>
                <w:sz w:val="19"/>
                <w:szCs w:val="19"/>
              </w:rPr>
              <w:t>FROM:</w:t>
            </w:r>
          </w:p>
        </w:tc>
        <w:tc>
          <w:tcPr>
            <w:tcW w:w="2430" w:type="dxa"/>
            <w:tcBorders/>
          </w:tcPr>
          <w:p>
            <w:pPr>
              <w:pStyle w:val="Normal"/>
              <w:spacing w:before="120" w:after="240"/>
              <w:rPr>
                <w:rFonts w:ascii="Arial;Arial" w:hAnsi="Arial;Arial" w:eastAsia="Arial;Arial" w:cs="Arial;Arial"/>
                <w:sz w:val="19"/>
                <w:szCs w:val="19"/>
              </w:rPr>
            </w:pPr>
            <w:r>
              <w:rPr>
                <w:rFonts w:eastAsia="Arial;Arial" w:cs="Arial;Arial" w:ascii="Arial;Arial" w:hAnsi="Arial;Arial"/>
                <w:sz w:val="19"/>
                <w:szCs w:val="19"/>
              </w:rPr>
              <w:t>Karen E. Jones</w:t>
            </w:r>
          </w:p>
        </w:tc>
        <w:tc>
          <w:tcPr>
            <w:tcW w:w="2070" w:type="dxa"/>
            <w:tcBorders/>
          </w:tcPr>
          <w:p>
            <w:pPr>
              <w:pStyle w:val="Normal"/>
              <w:spacing w:before="120" w:after="240"/>
              <w:jc w:val="both"/>
              <w:rPr>
                <w:rFonts w:ascii="Arial;Arial" w:hAnsi="Arial;Arial" w:eastAsia="Arial;Arial" w:cs="Arial;Arial"/>
                <w:b/>
                <w:bCs/>
                <w:sz w:val="19"/>
                <w:szCs w:val="19"/>
              </w:rPr>
            </w:pPr>
            <w:r>
              <w:rPr>
                <w:rFonts w:eastAsia="Arial;Arial" w:cs="Arial;Arial" w:ascii="Arial;Arial" w:hAnsi="Arial;Arial"/>
                <w:b/>
                <w:bCs/>
                <w:sz w:val="19"/>
                <w:szCs w:val="19"/>
              </w:rPr>
              <w:t>DEPARTMENT:</w:t>
            </w:r>
          </w:p>
        </w:tc>
        <w:tc>
          <w:tcPr>
            <w:tcW w:w="2340" w:type="dxa"/>
            <w:gridSpan w:val="2"/>
            <w:tcBorders/>
          </w:tcPr>
          <w:p>
            <w:pPr>
              <w:pStyle w:val="Normal"/>
              <w:spacing w:before="120" w:after="240"/>
              <w:jc w:val="both"/>
              <w:rPr>
                <w:rFonts w:ascii="Arial;Arial" w:hAnsi="Arial;Arial" w:eastAsia="Arial;Arial" w:cs="Arial;Arial"/>
                <w:sz w:val="19"/>
                <w:szCs w:val="19"/>
              </w:rPr>
            </w:pPr>
            <w:r>
              <w:rPr>
                <w:rFonts w:eastAsia="Arial;Arial" w:cs="Arial;Arial" w:ascii="Arial;Arial" w:hAnsi="Arial;Arial"/>
                <w:sz w:val="19"/>
                <w:szCs w:val="19"/>
              </w:rPr>
              <w:t>ENA Legal</w:t>
            </w:r>
          </w:p>
        </w:tc>
      </w:tr>
      <w:tr>
        <w:trPr/>
        <w:tc>
          <w:tcPr>
            <w:tcW w:w="1908" w:type="dxa"/>
            <w:tcBorders/>
          </w:tcPr>
          <w:p>
            <w:pPr>
              <w:pStyle w:val="Normal"/>
              <w:spacing w:before="0" w:after="120"/>
              <w:jc w:val="both"/>
              <w:rPr>
                <w:rFonts w:ascii="Arial;Arial" w:hAnsi="Arial;Arial" w:eastAsia="Arial;Arial" w:cs="Arial;Arial"/>
                <w:sz w:val="19"/>
                <w:szCs w:val="19"/>
              </w:rPr>
            </w:pPr>
            <w:r>
              <w:rPr>
                <w:rFonts w:eastAsia="Arial;Arial" w:cs="Arial;Arial" w:ascii="Arial;Arial" w:hAnsi="Arial;Arial"/>
                <w:b/>
                <w:bCs/>
                <w:sz w:val="19"/>
                <w:szCs w:val="19"/>
              </w:rPr>
              <w:t>SUBJECT:</w:t>
            </w:r>
          </w:p>
        </w:tc>
        <w:tc>
          <w:tcPr>
            <w:tcW w:w="6390" w:type="dxa"/>
            <w:gridSpan w:val="3"/>
            <w:tcBorders/>
          </w:tcPr>
          <w:p>
            <w:pPr>
              <w:pStyle w:val="Normal"/>
              <w:rPr>
                <w:rFonts w:ascii="Arial;Arial" w:hAnsi="Arial;Arial" w:eastAsia="Arial;Arial" w:cs="Arial;Arial"/>
                <w:sz w:val="19"/>
                <w:szCs w:val="19"/>
              </w:rPr>
            </w:pPr>
            <w:r>
              <w:rPr>
                <w:rFonts w:eastAsia="Arial;Arial" w:cs="Arial;Arial" w:ascii="Arial;Arial" w:hAnsi="Arial;Arial"/>
                <w:sz w:val="19"/>
                <w:szCs w:val="19"/>
              </w:rPr>
              <w:t>Legal Risk Memo/Sale of Pastoria Development Project to Calpine</w:t>
            </w:r>
          </w:p>
        </w:tc>
        <w:tc>
          <w:tcPr>
            <w:tcW w:w="450" w:type="dxa"/>
            <w:tcBorders/>
            <w:tcMar>
              <w:start w:w="0" w:type="dxa"/>
              <w:end w:w="0" w:type="dxa"/>
            </w:tcMar>
          </w:tcPr>
          <w:p>
            <w:pPr>
              <w:pStyle w:val="Normal"/>
              <w:snapToGrid w:val="false"/>
              <w:rPr>
                <w:rFonts w:ascii="Arial;Arial" w:hAnsi="Arial;Arial" w:eastAsia="Arial;Arial" w:cs="Arial;Arial"/>
                <w:sz w:val="19"/>
                <w:szCs w:val="19"/>
              </w:rPr>
            </w:pPr>
            <w:r>
              <w:rPr>
                <w:rFonts w:eastAsia="Arial;Arial" w:cs="Arial;Arial" w:ascii="Arial;Arial" w:hAnsi="Arial;Arial"/>
                <w:sz w:val="19"/>
                <w:szCs w:val="19"/>
              </w:rPr>
            </w:r>
          </w:p>
        </w:tc>
      </w:tr>
    </w:tbl>
    <w:p>
      <w:pPr>
        <w:pStyle w:val="Normal"/>
        <w:pBdr>
          <w:bottom w:val="double" w:sz="12" w:space="1" w:color="000000"/>
        </w:pBdr>
        <w:rPr>
          <w:rFonts w:ascii="Arial;Arial" w:hAnsi="Arial;Arial" w:eastAsia="Arial;Arial" w:cs="Arial;Arial"/>
          <w:sz w:val="19"/>
          <w:szCs w:val="19"/>
        </w:rPr>
      </w:pPr>
      <w:r>
        <w:rPr>
          <w:rFonts w:eastAsia="Arial;Arial" w:cs="Arial;Arial" w:ascii="Arial;Arial" w:hAnsi="Arial;Arial"/>
          <w:sz w:val="19"/>
          <w:szCs w:val="19"/>
        </w:rPr>
      </w:r>
    </w:p>
    <w:p>
      <w:pPr>
        <w:pStyle w:val="Normal"/>
        <w:jc w:val="center"/>
        <w:rPr>
          <w:rFonts w:ascii="Arial;Arial" w:hAnsi="Arial;Arial" w:eastAsia="Arial;Arial" w:cs="Arial;Arial"/>
          <w:b/>
          <w:bCs/>
          <w:sz w:val="19"/>
          <w:szCs w:val="19"/>
        </w:rPr>
      </w:pPr>
      <w:r>
        <w:rPr>
          <w:rFonts w:eastAsia="Arial;Arial" w:cs="Arial;Arial" w:ascii="Arial;Arial" w:hAnsi="Arial;Arial"/>
          <w:b/>
          <w:bCs/>
          <w:sz w:val="19"/>
          <w:szCs w:val="19"/>
        </w:rPr>
      </w:r>
    </w:p>
    <w:p>
      <w:pPr>
        <w:pStyle w:val="Normal"/>
        <w:jc w:val="center"/>
        <w:rPr>
          <w:rFonts w:ascii="Arial;Arial" w:hAnsi="Arial;Arial" w:eastAsia="Arial;Arial" w:cs="Arial;Arial"/>
          <w:b/>
          <w:bCs/>
          <w:sz w:val="19"/>
          <w:szCs w:val="19"/>
        </w:rPr>
      </w:pPr>
      <w:r>
        <w:rPr>
          <w:rFonts w:eastAsia="Arial;Arial" w:cs="Arial;Arial" w:ascii="Arial;Arial" w:hAnsi="Arial;Arial"/>
          <w:b/>
          <w:bCs/>
          <w:sz w:val="19"/>
          <w:szCs w:val="19"/>
        </w:rPr>
        <w:t xml:space="preserve">LEGAL RISK RATING = 2 </w:t>
      </w:r>
      <w:r>
        <w:rPr>
          <w:rFonts w:eastAsia="Arial;Arial" w:cs="Arial;Arial" w:ascii="Arial;Arial" w:hAnsi="Arial;Arial"/>
          <w:sz w:val="19"/>
          <w:szCs w:val="19"/>
        </w:rPr>
        <w:t>(with 1 being low risk and 5 being high risk)</w:t>
      </w:r>
    </w:p>
    <w:p>
      <w:pPr>
        <w:pStyle w:val="Normal"/>
        <w:rPr>
          <w:rFonts w:ascii="Arial;Arial" w:hAnsi="Arial;Arial" w:eastAsia="Arial;Arial" w:cs="Arial;Arial"/>
          <w:b/>
          <w:bCs/>
          <w:sz w:val="19"/>
          <w:szCs w:val="19"/>
        </w:rPr>
      </w:pPr>
      <w:r>
        <w:rPr>
          <w:rFonts w:eastAsia="Arial;Arial" w:cs="Arial;Arial" w:ascii="Arial;Arial" w:hAnsi="Arial;Arial"/>
          <w:b/>
          <w:bCs/>
          <w:sz w:val="19"/>
          <w:szCs w:val="19"/>
        </w:rPr>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t>Enron Entity:</w:t>
        <w:tab/>
        <w:t>Enron North America Corp. (“ENA”).</w:t>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t>Counterparty:</w:t>
        <w:tab/>
        <w:t>Pastoria Energy Center LLC (“Buyer”), a subsidiary of Calpine Corporation (“Calpine”)</w:t>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r>
    </w:p>
    <w:p>
      <w:pPr>
        <w:pStyle w:val="BodyText2"/>
        <w:ind w:hanging="1440" w:start="1440" w:end="0"/>
        <w:rPr>
          <w:rFonts w:ascii="Arial;Arial" w:hAnsi="Arial;Arial" w:eastAsia="Arial;Arial" w:cs="Arial;Arial"/>
          <w:sz w:val="19"/>
          <w:szCs w:val="19"/>
        </w:rPr>
      </w:pPr>
      <w:r>
        <w:rPr>
          <w:rFonts w:eastAsia="Arial;Arial" w:cs="Arial;Arial" w:ascii="Arial;Arial" w:hAnsi="Arial;Arial"/>
          <w:sz w:val="19"/>
          <w:szCs w:val="19"/>
        </w:rPr>
        <w:t xml:space="preserve">Nature of </w:t>
      </w:r>
    </w:p>
    <w:p>
      <w:pPr>
        <w:pStyle w:val="BodyText2"/>
        <w:ind w:hanging="1440" w:start="1440" w:end="0"/>
        <w:rPr>
          <w:rFonts w:ascii="Arial;Arial" w:hAnsi="Arial;Arial" w:eastAsia="Arial;Arial" w:cs="Arial;Arial"/>
          <w:sz w:val="19"/>
          <w:szCs w:val="19"/>
        </w:rPr>
      </w:pPr>
      <w:r>
        <w:rPr>
          <w:rFonts w:eastAsia="Arial;Arial" w:cs="Arial;Arial" w:ascii="Arial;Arial" w:hAnsi="Arial;Arial"/>
          <w:sz w:val="19"/>
          <w:szCs w:val="19"/>
        </w:rPr>
        <w:t>Transaction:</w:t>
        <w:tab/>
        <w:t xml:space="preserve">Sale of Pastoria Energy Facility (the “Project”), a greenfield power plant under development near Bakersfield, California, structured as a sale of 100% of the membership interests in Pastoria Energy Facility L.L.C. (“PEF”), a wholly-owned subsidiary of ENA.  Additional Project assets and development rights of ENA (such as GE turbine contracts currently held by E-Next Generation LLC, the special purpose vehicle for Enron’s TurboPark off-balance sheet financing) will be transferred into PEF concurrently with the Calpine closing.  </w:t>
      </w:r>
    </w:p>
    <w:p>
      <w:pPr>
        <w:pStyle w:val="BodyText2"/>
        <w:ind w:hanging="1440" w:start="1440" w:end="0"/>
        <w:rPr>
          <w:rFonts w:ascii="Arial;Arial" w:hAnsi="Arial;Arial" w:eastAsia="Arial;Arial" w:cs="Arial;Arial"/>
          <w:sz w:val="19"/>
          <w:szCs w:val="19"/>
        </w:rPr>
      </w:pPr>
      <w:r>
        <w:rPr>
          <w:rFonts w:eastAsia="Arial;Arial" w:cs="Arial;Arial" w:ascii="Arial;Arial" w:hAnsi="Arial;Arial"/>
          <w:sz w:val="19"/>
          <w:szCs w:val="19"/>
        </w:rPr>
      </w:r>
    </w:p>
    <w:p>
      <w:pPr>
        <w:pStyle w:val="BodyText2"/>
        <w:ind w:hanging="0" w:start="1440" w:end="0"/>
        <w:rPr>
          <w:rFonts w:ascii="Arial;Arial" w:hAnsi="Arial;Arial" w:eastAsia="Arial;Arial" w:cs="Arial;Arial"/>
          <w:sz w:val="19"/>
          <w:szCs w:val="19"/>
        </w:rPr>
      </w:pPr>
      <w:r>
        <w:rPr>
          <w:rFonts w:eastAsia="Arial;Arial" w:cs="Arial;Arial" w:ascii="Arial;Arial" w:hAnsi="Arial;Arial"/>
          <w:sz w:val="19"/>
          <w:szCs w:val="19"/>
        </w:rPr>
        <w:t>ENA plans to sign a purchase and sale agreement with the Buyer (the “PSA”) once issues related to a back-up water supply agreement between Azurix and Kern Water Bank Authority (“KWBA”) and ENA’s obligation to enter into a long-term gas transportation commitment are resolved, with the closing currently expected to occur approximately thirty (30) days thereafter.</w:t>
      </w:r>
    </w:p>
    <w:p>
      <w:pPr>
        <w:pStyle w:val="BodyText2"/>
        <w:ind w:hanging="1440" w:start="1440" w:end="0"/>
        <w:rPr>
          <w:rFonts w:ascii="Arial;Arial" w:hAnsi="Arial;Arial" w:eastAsia="Arial;Arial" w:cs="Arial;Arial"/>
          <w:sz w:val="19"/>
          <w:szCs w:val="19"/>
        </w:rPr>
      </w:pPr>
      <w:r>
        <w:rPr>
          <w:rFonts w:eastAsia="Arial;Arial" w:cs="Arial;Arial" w:ascii="Arial;Arial" w:hAnsi="Arial;Arial"/>
          <w:sz w:val="19"/>
          <w:szCs w:val="19"/>
        </w:rPr>
      </w:r>
    </w:p>
    <w:p>
      <w:pPr>
        <w:pStyle w:val="BodyText2"/>
        <w:ind w:hanging="0" w:start="1440" w:end="0"/>
        <w:rPr>
          <w:rFonts w:ascii="Arial;Arial" w:hAnsi="Arial;Arial" w:eastAsia="Arial;Arial" w:cs="Arial;Arial"/>
          <w:sz w:val="19"/>
          <w:szCs w:val="19"/>
        </w:rPr>
      </w:pPr>
      <w:r>
        <w:rPr>
          <w:rFonts w:eastAsia="Arial;Arial" w:cs="Arial;Arial" w:ascii="Arial;Arial" w:hAnsi="Arial;Arial"/>
          <w:sz w:val="19"/>
          <w:szCs w:val="19"/>
        </w:rPr>
        <w:t>Conditions to closing, which must be satisfied by April 30, 2001, include the following:</w:t>
      </w:r>
    </w:p>
    <w:p>
      <w:pPr>
        <w:pStyle w:val="BodyText2"/>
        <w:ind w:hanging="1440" w:start="1440" w:end="0"/>
        <w:rPr>
          <w:rFonts w:ascii="Arial;Arial" w:hAnsi="Arial;Arial" w:eastAsia="Arial;Arial" w:cs="Arial;Arial"/>
          <w:sz w:val="19"/>
          <w:szCs w:val="19"/>
        </w:rPr>
      </w:pPr>
      <w:r>
        <w:rPr>
          <w:rFonts w:eastAsia="Arial;Arial" w:cs="Arial;Arial" w:ascii="Arial;Arial" w:hAnsi="Arial;Arial"/>
          <w:sz w:val="19"/>
          <w:szCs w:val="19"/>
        </w:rPr>
      </w:r>
    </w:p>
    <w:p>
      <w:pPr>
        <w:pStyle w:val="Normal"/>
        <w:numPr>
          <w:ilvl w:val="0"/>
          <w:numId w:val="2"/>
        </w:numPr>
        <w:tabs>
          <w:tab w:val="clear" w:pos="720"/>
          <w:tab w:val="left" w:pos="0" w:leader="none"/>
          <w:tab w:val="left" w:pos="1440" w:leader="none"/>
        </w:tabs>
        <w:ind w:hanging="360" w:start="1800" w:end="0"/>
        <w:jc w:val="both"/>
        <w:rPr>
          <w:rFonts w:ascii="Arial;Arial" w:hAnsi="Arial;Arial" w:eastAsia="Arial;Arial" w:cs="Arial;Arial"/>
          <w:sz w:val="19"/>
          <w:szCs w:val="19"/>
        </w:rPr>
      </w:pPr>
      <w:r>
        <w:rPr>
          <w:rFonts w:eastAsia="Arial;Arial" w:cs="Arial;Arial" w:ascii="Arial;Arial" w:hAnsi="Arial;Arial"/>
          <w:sz w:val="19"/>
          <w:szCs w:val="19"/>
        </w:rPr>
        <w:t>Execution of the back-up water supply agreement between Azurix (assignable to PEF) and KWBA.</w:t>
      </w:r>
    </w:p>
    <w:p>
      <w:pPr>
        <w:pStyle w:val="Normal"/>
        <w:numPr>
          <w:ilvl w:val="0"/>
          <w:numId w:val="2"/>
        </w:numPr>
        <w:tabs>
          <w:tab w:val="clear" w:pos="720"/>
          <w:tab w:val="left" w:pos="0" w:leader="none"/>
          <w:tab w:val="left" w:pos="1440" w:leader="none"/>
        </w:tabs>
        <w:ind w:hanging="360" w:start="1800" w:end="0"/>
        <w:jc w:val="both"/>
        <w:rPr>
          <w:rFonts w:ascii="Arial;Arial" w:hAnsi="Arial;Arial" w:eastAsia="Arial;Arial" w:cs="Arial;Arial"/>
          <w:sz w:val="19"/>
          <w:szCs w:val="19"/>
        </w:rPr>
      </w:pPr>
      <w:r>
        <w:rPr>
          <w:rFonts w:eastAsia="Arial;Arial" w:cs="Arial;Arial" w:ascii="Arial;Arial" w:hAnsi="Arial;Arial"/>
          <w:sz w:val="19"/>
          <w:szCs w:val="19"/>
        </w:rPr>
        <w:t>ENA’s representations and warranties made in the PSA must be materially true and correct as of the closing date.</w:t>
      </w:r>
    </w:p>
    <w:p>
      <w:pPr>
        <w:pStyle w:val="Normal"/>
        <w:numPr>
          <w:ilvl w:val="0"/>
          <w:numId w:val="2"/>
        </w:numPr>
        <w:tabs>
          <w:tab w:val="clear" w:pos="720"/>
          <w:tab w:val="left" w:pos="0" w:leader="none"/>
          <w:tab w:val="left" w:pos="1440" w:leader="none"/>
        </w:tabs>
        <w:ind w:hanging="360" w:start="1800" w:end="0"/>
        <w:jc w:val="both"/>
        <w:rPr>
          <w:rFonts w:ascii="Arial;Arial" w:hAnsi="Arial;Arial" w:eastAsia="Arial;Arial" w:cs="Arial;Arial"/>
          <w:sz w:val="19"/>
          <w:szCs w:val="19"/>
        </w:rPr>
      </w:pPr>
      <w:r>
        <w:rPr>
          <w:rFonts w:eastAsia="Arial;Arial" w:cs="Arial;Arial" w:ascii="Arial;Arial" w:hAnsi="Arial;Arial"/>
          <w:sz w:val="19"/>
          <w:szCs w:val="19"/>
        </w:rPr>
        <w:t>Transfer of the turbine contracts out of TurboPark.</w:t>
      </w:r>
    </w:p>
    <w:p>
      <w:pPr>
        <w:pStyle w:val="Normal"/>
        <w:numPr>
          <w:ilvl w:val="0"/>
          <w:numId w:val="2"/>
        </w:numPr>
        <w:tabs>
          <w:tab w:val="clear" w:pos="720"/>
          <w:tab w:val="left" w:pos="0" w:leader="none"/>
          <w:tab w:val="left" w:pos="1440" w:leader="none"/>
        </w:tabs>
        <w:ind w:hanging="360" w:start="1800" w:end="0"/>
        <w:jc w:val="both"/>
        <w:rPr>
          <w:rFonts w:ascii="Arial;Arial" w:hAnsi="Arial;Arial" w:eastAsia="Arial;Arial" w:cs="Arial;Arial"/>
          <w:sz w:val="19"/>
          <w:szCs w:val="19"/>
        </w:rPr>
      </w:pPr>
      <w:r>
        <w:rPr>
          <w:rFonts w:eastAsia="Arial;Arial" w:cs="Arial;Arial" w:ascii="Arial;Arial" w:hAnsi="Arial;Arial"/>
          <w:sz w:val="19"/>
          <w:szCs w:val="19"/>
        </w:rPr>
        <w:t>Release of ENA from liability for gas transportation commitment that ENA expects to enter into on March 15, 2001.</w:t>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t>Size of</w:t>
      </w:r>
    </w:p>
    <w:p>
      <w:pPr>
        <w:pStyle w:val="Normal"/>
        <w:ind w:hanging="1440" w:start="1440" w:end="0"/>
        <w:jc w:val="both"/>
        <w:rPr>
          <w:rFonts w:ascii="Arial;Arial" w:hAnsi="Arial;Arial" w:eastAsia="Arial;Arial" w:cs="Arial;Arial"/>
          <w:sz w:val="19"/>
          <w:szCs w:val="19"/>
        </w:rPr>
      </w:pPr>
      <w:r>
        <w:rPr>
          <w:rFonts w:eastAsia="Arial;Arial" w:cs="Arial;Arial" w:ascii="Arial;Arial" w:hAnsi="Arial;Arial"/>
          <w:sz w:val="19"/>
          <w:szCs w:val="19"/>
        </w:rPr>
        <w:t>Transaction:</w:t>
        <w:tab/>
        <w:t>The purchase price will reimburse ENA for its development costs and turbine payments and include a “promote” of at least $30 Million (still being negotiated).  Additionally, under certain conditions, ENA will receive an additional cash payment of $6 Million in the event Calpine successfully expands the size of the Project.</w:t>
      </w:r>
    </w:p>
    <w:p>
      <w:pPr>
        <w:pStyle w:val="Normal"/>
        <w:ind w:hanging="3600" w:start="3600" w:end="0"/>
        <w:jc w:val="both"/>
        <w:rPr>
          <w:rFonts w:ascii="Arial;Arial" w:hAnsi="Arial;Arial" w:eastAsia="Arial;Arial" w:cs="Arial;Arial"/>
          <w:b/>
          <w:bCs/>
          <w:sz w:val="19"/>
          <w:szCs w:val="19"/>
        </w:rPr>
      </w:pPr>
      <w:r>
        <w:rPr>
          <w:rFonts w:eastAsia="Arial;Arial" w:cs="Arial;Arial" w:ascii="Arial;Arial" w:hAnsi="Arial;Arial"/>
          <w:b/>
          <w:bCs/>
          <w:sz w:val="19"/>
          <w:szCs w:val="19"/>
        </w:rPr>
        <w:t>Legal Risks:</w:t>
      </w:r>
    </w:p>
    <w:p>
      <w:pPr>
        <w:pStyle w:val="Normal"/>
        <w:ind w:hanging="3600" w:start="3600" w:end="0"/>
        <w:jc w:val="both"/>
        <w:rPr>
          <w:rFonts w:ascii="Arial;Arial" w:hAnsi="Arial;Arial" w:eastAsia="Arial;Arial" w:cs="Arial;Arial"/>
          <w:b/>
          <w:bCs/>
          <w:sz w:val="19"/>
          <w:szCs w:val="19"/>
          <w:u w:val="single"/>
        </w:rPr>
      </w:pPr>
      <w:r>
        <w:rPr>
          <w:rFonts w:eastAsia="Arial;Arial" w:cs="Arial;Arial" w:ascii="Arial;Arial" w:hAnsi="Arial;Arial"/>
          <w:b/>
          <w:bCs/>
          <w:sz w:val="19"/>
          <w:szCs w:val="19"/>
          <w:u w:val="single"/>
        </w:rPr>
      </w:r>
    </w:p>
    <w:p>
      <w:pPr>
        <w:pStyle w:val="Normal"/>
        <w:ind w:hanging="360" w:start="360" w:end="0"/>
        <w:rPr/>
      </w:pPr>
      <w:r>
        <w:rPr>
          <w:rFonts w:eastAsia="Arial;Arial" w:cs="Arial;Arial" w:ascii="Arial;Arial" w:hAnsi="Arial;Arial"/>
          <w:sz w:val="19"/>
          <w:szCs w:val="19"/>
        </w:rPr>
        <w:t xml:space="preserve">1.    </w:t>
      </w:r>
      <w:r>
        <w:rPr>
          <w:rFonts w:eastAsia="Arial;Arial" w:cs="Arial;Arial" w:ascii="Arial;Arial" w:hAnsi="Arial;Arial"/>
          <w:b/>
          <w:bCs/>
          <w:sz w:val="19"/>
          <w:szCs w:val="19"/>
          <w:u w:val="single"/>
        </w:rPr>
        <w:t>Execution Risk  -  KWBA Back-Up Water Supply Contract</w:t>
      </w:r>
    </w:p>
    <w:p>
      <w:pPr>
        <w:pStyle w:val="Normal"/>
        <w:ind w:hanging="360" w:start="360" w:end="0"/>
        <w:rPr>
          <w:rFonts w:ascii="Arial;Arial" w:hAnsi="Arial;Arial" w:eastAsia="Arial;Arial" w:cs="Arial;Arial"/>
          <w:b/>
          <w:bCs/>
          <w:sz w:val="19"/>
          <w:szCs w:val="19"/>
          <w:u w:val="single"/>
        </w:rPr>
      </w:pPr>
      <w:r>
        <w:rPr>
          <w:rFonts w:eastAsia="Arial;Arial" w:cs="Arial;Arial" w:ascii="Arial;Arial" w:hAnsi="Arial;Arial"/>
          <w:b/>
          <w:bCs/>
          <w:sz w:val="19"/>
          <w:szCs w:val="19"/>
          <w:u w:val="single"/>
        </w:rPr>
      </w:r>
    </w:p>
    <w:p>
      <w:pPr>
        <w:pStyle w:val="Normal"/>
        <w:numPr>
          <w:ilvl w:val="0"/>
          <w:numId w:val="3"/>
        </w:numPr>
        <w:tabs>
          <w:tab w:val="clear" w:pos="720"/>
          <w:tab w:val="left" w:pos="0" w:leader="none"/>
        </w:tabs>
        <w:ind w:hanging="720" w:start="720" w:end="0"/>
        <w:rPr>
          <w:rFonts w:ascii="Arial;Arial" w:hAnsi="Arial;Arial" w:eastAsia="Arial;Arial" w:cs="Arial;Arial"/>
          <w:b/>
          <w:bCs/>
          <w:sz w:val="19"/>
          <w:szCs w:val="19"/>
          <w:u w:val="single"/>
        </w:rPr>
      </w:pPr>
      <w:r>
        <w:rPr>
          <w:rFonts w:eastAsia="Arial;Arial" w:cs="Arial;Arial" w:ascii="Arial;Arial" w:hAnsi="Arial;Arial"/>
          <w:sz w:val="19"/>
          <w:szCs w:val="19"/>
        </w:rPr>
        <w:t>KWBA has agreed to a term sheet outlining the basic commercial terms of the back-up water supply arrangements;  however, KWBA is not obligated to sign definitive agreements for the deal outlined in the term sheet, the structure is complex, and KWBA has proven to be a very difficult counterparty.  KWBA might refuse to enter into definitive agreements, or might ask for something in the definitive agreements that we will not be able to agree to or to get Calpine to accept.  This could result in no closing with Calpine, or in a request by Calpine for price concessions.</w:t>
      </w:r>
    </w:p>
    <w:p>
      <w:pPr>
        <w:pStyle w:val="Normal"/>
        <w:rPr>
          <w:rFonts w:ascii="Arial;Arial" w:hAnsi="Arial;Arial" w:eastAsia="Arial;Arial" w:cs="Arial;Arial"/>
          <w:sz w:val="19"/>
          <w:szCs w:val="19"/>
        </w:rPr>
      </w:pPr>
      <w:r>
        <w:rPr>
          <w:rFonts w:eastAsia="Arial;Arial" w:cs="Arial;Arial" w:ascii="Arial;Arial" w:hAnsi="Arial;Arial"/>
          <w:sz w:val="19"/>
          <w:szCs w:val="19"/>
        </w:rPr>
      </w:r>
    </w:p>
    <w:p>
      <w:pPr>
        <w:pStyle w:val="BodyText3"/>
        <w:ind w:hanging="360" w:start="360" w:end="0"/>
        <w:rPr/>
      </w:pPr>
      <w:r>
        <w:rPr>
          <w:rFonts w:eastAsia="Arial;Arial" w:cs="Arial;Arial" w:ascii="Arial;Arial" w:hAnsi="Arial;Arial"/>
          <w:b/>
          <w:bCs/>
          <w:sz w:val="19"/>
          <w:szCs w:val="19"/>
        </w:rPr>
        <w:t>2.</w:t>
        <w:tab/>
      </w:r>
      <w:r>
        <w:rPr>
          <w:rFonts w:eastAsia="Arial;Arial" w:cs="Arial;Arial" w:ascii="Arial;Arial" w:hAnsi="Arial;Arial"/>
          <w:b/>
          <w:bCs/>
          <w:sz w:val="19"/>
          <w:szCs w:val="19"/>
          <w:u w:val="single"/>
        </w:rPr>
        <w:t>Possible Holdup by Project Landowner</w:t>
      </w:r>
    </w:p>
    <w:p>
      <w:pPr>
        <w:pStyle w:val="BodyText3"/>
        <w:rPr>
          <w:rFonts w:ascii="Arial;Arial" w:hAnsi="Arial;Arial" w:eastAsia="Arial;Arial" w:cs="Arial;Arial"/>
          <w:b/>
          <w:bCs/>
          <w:sz w:val="19"/>
          <w:szCs w:val="19"/>
          <w:u w:val="single"/>
        </w:rPr>
      </w:pPr>
      <w:r>
        <w:rPr>
          <w:rFonts w:eastAsia="Arial;Arial" w:cs="Arial;Arial" w:ascii="Arial;Arial" w:hAnsi="Arial;Arial"/>
          <w:b/>
          <w:bCs/>
          <w:sz w:val="19"/>
          <w:szCs w:val="19"/>
          <w:u w:val="single"/>
        </w:rPr>
      </w:r>
    </w:p>
    <w:p>
      <w:pPr>
        <w:pStyle w:val="BodyText3"/>
        <w:numPr>
          <w:ilvl w:val="0"/>
          <w:numId w:val="4"/>
        </w:numPr>
        <w:tabs>
          <w:tab w:val="clear" w:pos="720"/>
          <w:tab w:val="left" w:pos="0" w:leader="none"/>
        </w:tabs>
        <w:ind w:hanging="360" w:start="720" w:end="0"/>
        <w:rPr>
          <w:rFonts w:ascii="Arial;Arial" w:hAnsi="Arial;Arial" w:eastAsia="Arial;Arial" w:cs="Arial;Arial"/>
          <w:sz w:val="19"/>
          <w:szCs w:val="19"/>
        </w:rPr>
      </w:pPr>
      <w:r>
        <w:rPr>
          <w:rFonts w:eastAsia="Arial;Arial" w:cs="Arial;Arial" w:ascii="Arial;Arial" w:hAnsi="Arial;Arial"/>
          <w:sz w:val="19"/>
          <w:szCs w:val="19"/>
        </w:rPr>
        <w:t>The agreements with the Project landowner (Tejon Ranchcorp) allow for a sale of the Project without Tejon’s consent provided the buyer is a “Qualified Developer” and its qualifications are documented for Tejon prior to closing.  The certificate that Calpine will deliver to prove it is a “Qualified Developer” does not track exactly the definition of “Qualified Developer” in the Tejon agreements (because Calpine would not agree to rep as to that exact language);  this creates a risk that Tejon might claim its consent to the sale is required.  As a factual matter, however, Calpine meets the “Qualified Developer” standard and we should prevail on the issue in any dispute about it with Tejon.  Therefore, the risk is primarily one of possible delay and/or the possibility that additional payment to Tejon might be required to ensure Tejon’s timely cooperation.   A similar holdup risk exists with respect to a technical amendment to the Tejon agreements that Tejon has not yet signed.</w:t>
      </w:r>
    </w:p>
    <w:p>
      <w:pPr>
        <w:pStyle w:val="BodyText3"/>
        <w:rPr>
          <w:rFonts w:ascii="Arial;Arial" w:hAnsi="Arial;Arial" w:eastAsia="Arial;Arial" w:cs="Arial;Arial"/>
          <w:sz w:val="19"/>
          <w:szCs w:val="19"/>
        </w:rPr>
      </w:pPr>
      <w:r>
        <w:rPr>
          <w:rFonts w:eastAsia="Arial;Arial" w:cs="Arial;Arial" w:ascii="Arial;Arial" w:hAnsi="Arial;Arial"/>
          <w:sz w:val="19"/>
          <w:szCs w:val="19"/>
        </w:rPr>
      </w:r>
    </w:p>
    <w:p>
      <w:pPr>
        <w:pStyle w:val="Normal"/>
        <w:ind w:hanging="360" w:start="360" w:end="0"/>
        <w:rPr>
          <w:rFonts w:ascii="Arial;Arial" w:hAnsi="Arial;Arial" w:eastAsia="Arial;Arial" w:cs="Arial;Arial"/>
          <w:sz w:val="19"/>
          <w:szCs w:val="19"/>
        </w:rPr>
      </w:pPr>
      <w:r>
        <w:rPr>
          <w:rFonts w:eastAsia="Arial;Arial" w:cs="Arial;Arial" w:ascii="Arial;Arial" w:hAnsi="Arial;Arial"/>
          <w:b/>
          <w:bCs/>
          <w:sz w:val="19"/>
          <w:szCs w:val="19"/>
        </w:rPr>
        <w:t>3.</w:t>
        <w:tab/>
      </w:r>
      <w:r>
        <w:rPr>
          <w:rFonts w:eastAsia="Arial;Arial" w:cs="Arial;Arial" w:ascii="Arial;Arial" w:hAnsi="Arial;Arial"/>
          <w:b/>
          <w:bCs/>
          <w:sz w:val="19"/>
          <w:szCs w:val="19"/>
          <w:u w:val="single"/>
        </w:rPr>
        <w:t>The California Factor (Regulatory and Political Climate) – Calpine Could Attempt to Walk</w:t>
      </w:r>
    </w:p>
    <w:p>
      <w:pPr>
        <w:pStyle w:val="Normal"/>
        <w:ind w:hanging="3600" w:start="3600" w:end="0"/>
        <w:jc w:val="both"/>
        <w:rPr>
          <w:rFonts w:ascii="Arial;Arial" w:hAnsi="Arial;Arial" w:eastAsia="Arial;Arial" w:cs="Arial;Arial"/>
          <w:sz w:val="19"/>
          <w:szCs w:val="19"/>
        </w:rPr>
      </w:pPr>
      <w:r>
        <w:rPr>
          <w:rFonts w:eastAsia="Arial;Arial" w:cs="Arial;Arial" w:ascii="Arial;Arial" w:hAnsi="Arial;Arial"/>
          <w:sz w:val="19"/>
          <w:szCs w:val="19"/>
        </w:rPr>
      </w:r>
    </w:p>
    <w:p>
      <w:pPr>
        <w:pStyle w:val="BodyText3"/>
        <w:numPr>
          <w:ilvl w:val="0"/>
          <w:numId w:val="5"/>
        </w:numPr>
        <w:tabs>
          <w:tab w:val="clear" w:pos="720"/>
          <w:tab w:val="left" w:pos="0" w:leader="none"/>
        </w:tabs>
        <w:ind w:hanging="360" w:start="720" w:end="0"/>
        <w:rPr>
          <w:rFonts w:ascii="Arial;Arial" w:hAnsi="Arial;Arial" w:eastAsia="Arial;Arial" w:cs="Arial;Arial"/>
          <w:sz w:val="19"/>
          <w:szCs w:val="19"/>
        </w:rPr>
      </w:pPr>
      <w:r>
        <w:rPr>
          <w:rFonts w:eastAsia="Arial;Arial" w:cs="Arial;Arial" w:ascii="Arial;Arial" w:hAnsi="Arial;Arial"/>
          <w:sz w:val="19"/>
          <w:szCs w:val="19"/>
        </w:rPr>
        <w:t xml:space="preserve">Continued uncertainty about the California market and future regulatory framework could cause Calpine to look for an out under the Calpine Agreement.  Except for a customary litigation rep and warranty (that there are no pending or threatened legal actions against ENA, PEF or the Project that are material to the development, construction, operation or value of the Project), which rep must be materially true and correct as of the closing date and which could arguably become untrue if California actually seeks to seize control of all power plants, there are no reps that would be affected by a change in the regulatory framework, nor is there a general “material adverse change” or other express out in the Calpine Agreement for regulatory or market conditions or changes.  However, the California climate puts additional “pressure” on ENA’s reps and warranties (1) before closing, in the sense that any changes in those reps between signing and closing that might otherwise not be viewed by Calpine as material changes might be asserted as material if Calpine is looking for a reason not to close, and (2) after closing, if the California climate results in drastic regulatory changes that affect Calpine’s ability to proceed with the Project and Calpine is looking for ways to recoup losses. </w:t>
      </w:r>
    </w:p>
    <w:p>
      <w:pPr>
        <w:pStyle w:val="BodyText3"/>
        <w:rPr>
          <w:rFonts w:ascii="Arial;Arial" w:hAnsi="Arial;Arial" w:eastAsia="Arial;Arial" w:cs="Arial;Arial"/>
          <w:sz w:val="19"/>
          <w:szCs w:val="19"/>
        </w:rPr>
      </w:pPr>
      <w:r>
        <w:rPr>
          <w:rFonts w:eastAsia="Arial;Arial" w:cs="Arial;Arial" w:ascii="Arial;Arial" w:hAnsi="Arial;Arial"/>
          <w:sz w:val="19"/>
          <w:szCs w:val="19"/>
        </w:rPr>
      </w:r>
    </w:p>
    <w:p>
      <w:pPr>
        <w:pStyle w:val="BodyText3"/>
        <w:ind w:hanging="360" w:start="360" w:end="0"/>
        <w:rPr>
          <w:rFonts w:ascii="Arial;Arial" w:hAnsi="Arial;Arial" w:eastAsia="Arial;Arial" w:cs="Arial;Arial"/>
          <w:sz w:val="19"/>
          <w:szCs w:val="19"/>
          <w:u w:val="single"/>
        </w:rPr>
      </w:pPr>
      <w:r>
        <w:rPr>
          <w:rFonts w:eastAsia="Arial;Arial" w:cs="Arial;Arial" w:ascii="Arial;Arial" w:hAnsi="Arial;Arial"/>
          <w:b/>
          <w:bCs/>
          <w:sz w:val="19"/>
          <w:szCs w:val="19"/>
        </w:rPr>
        <w:t>4.</w:t>
      </w:r>
      <w:r>
        <w:rPr>
          <w:rFonts w:eastAsia="Arial;Arial" w:cs="Arial;Arial" w:ascii="Arial;Arial" w:hAnsi="Arial;Arial"/>
          <w:sz w:val="19"/>
          <w:szCs w:val="19"/>
        </w:rPr>
        <w:tab/>
      </w:r>
      <w:r>
        <w:rPr>
          <w:rFonts w:eastAsia="Arial;Arial" w:cs="Arial;Arial" w:ascii="Arial;Arial" w:hAnsi="Arial;Arial"/>
          <w:b/>
          <w:bCs/>
          <w:sz w:val="19"/>
          <w:szCs w:val="19"/>
          <w:u w:val="single"/>
        </w:rPr>
        <w:t>Ongoing Liability of ENA</w:t>
      </w:r>
    </w:p>
    <w:p>
      <w:pPr>
        <w:pStyle w:val="BodyText3"/>
        <w:rPr>
          <w:rFonts w:ascii="Arial;Arial" w:hAnsi="Arial;Arial" w:eastAsia="Arial;Arial" w:cs="Arial;Arial"/>
          <w:sz w:val="19"/>
          <w:szCs w:val="19"/>
          <w:u w:val="single"/>
        </w:rPr>
      </w:pPr>
      <w:r>
        <w:rPr>
          <w:rFonts w:eastAsia="Arial;Arial" w:cs="Arial;Arial" w:ascii="Arial;Arial" w:hAnsi="Arial;Arial"/>
          <w:sz w:val="19"/>
          <w:szCs w:val="19"/>
          <w:u w:val="single"/>
        </w:rPr>
      </w:r>
    </w:p>
    <w:p>
      <w:pPr>
        <w:pStyle w:val="BodyText3"/>
        <w:numPr>
          <w:ilvl w:val="0"/>
          <w:numId w:val="6"/>
        </w:numPr>
        <w:tabs>
          <w:tab w:val="clear" w:pos="720"/>
          <w:tab w:val="left" w:pos="0" w:leader="none"/>
        </w:tabs>
        <w:ind w:hanging="720" w:start="720" w:end="0"/>
        <w:rPr>
          <w:rFonts w:ascii="Arial;Arial" w:hAnsi="Arial;Arial" w:eastAsia="Arial;Arial" w:cs="Arial;Arial"/>
          <w:sz w:val="19"/>
          <w:szCs w:val="19"/>
        </w:rPr>
      </w:pPr>
      <w:r>
        <w:rPr>
          <w:rFonts w:eastAsia="Arial;Arial" w:cs="Arial;Arial" w:ascii="Arial;Arial" w:hAnsi="Arial;Arial"/>
          <w:sz w:val="19"/>
          <w:szCs w:val="19"/>
        </w:rPr>
        <w:t>ENA will have exposure under an indemnity for its reps and warranties in the PSA for eighteen (18) months (with certain exceptions for corporate/title and tax reps, which survive for applicable statute of limitations periods) for up to the “promote” portion of the purchase price (except that ENA’s exposure for reps regarding ENA’s title to PEF is for the full purchase price – i.e., the “promote” plus the reimbursed development costs.  The threat of Calpine claims under ENA’s indemnity is mitigated by narrowly drafted reps, and the risk of successful assertion of such claims is remote.</w:t>
      </w:r>
    </w:p>
    <w:p>
      <w:pPr>
        <w:pStyle w:val="BodyText3"/>
        <w:numPr>
          <w:ilvl w:val="0"/>
          <w:numId w:val="6"/>
        </w:numPr>
        <w:tabs>
          <w:tab w:val="clear" w:pos="720"/>
          <w:tab w:val="left" w:pos="0" w:leader="none"/>
        </w:tabs>
        <w:ind w:hanging="360" w:start="720" w:end="0"/>
        <w:rPr>
          <w:rFonts w:ascii="Arial;Arial" w:hAnsi="Arial;Arial" w:eastAsia="Arial;Arial" w:cs="Arial;Arial"/>
          <w:sz w:val="19"/>
          <w:szCs w:val="19"/>
        </w:rPr>
      </w:pPr>
      <w:r>
        <w:rPr>
          <w:rFonts w:eastAsia="Arial;Arial" w:cs="Arial;Arial" w:ascii="Arial;Arial" w:hAnsi="Arial;Arial"/>
          <w:sz w:val="19"/>
          <w:szCs w:val="19"/>
        </w:rPr>
        <w:t>ENA will have contingent liability under certain project agreements (such as certain obligations under the Tejon  agreements and for gas transportation arrangements with Kern River Gas Transmission Company) unless we obtain releases (doubtful as to Tejon).  All such material obligations of ENA with respect to the Project will be backstopped by a Calpine guarantee, and, as a condition to ENA’s obligation to close, ENA’s liability under the Kern River commitment must be released by Calpine’s substitution of collateral acceptable to Kern River.</w:t>
      </w:r>
    </w:p>
    <w:p>
      <w:pPr>
        <w:pStyle w:val="BodyText3"/>
        <w:rPr>
          <w:rFonts w:ascii="Arial;Arial" w:hAnsi="Arial;Arial" w:eastAsia="Arial;Arial" w:cs="Arial;Arial"/>
          <w:sz w:val="19"/>
          <w:szCs w:val="19"/>
        </w:rPr>
      </w:pPr>
      <w:r>
        <w:rPr>
          <w:rFonts w:eastAsia="Arial;Arial" w:cs="Arial;Arial" w:ascii="Arial;Arial" w:hAnsi="Arial;Arial"/>
          <w:sz w:val="19"/>
          <w:szCs w:val="19"/>
        </w:rPr>
      </w:r>
    </w:p>
    <w:p>
      <w:pPr>
        <w:pStyle w:val="BodyText3"/>
        <w:rPr>
          <w:rFonts w:ascii="Arial;Arial" w:hAnsi="Arial;Arial" w:eastAsia="Arial;Arial" w:cs="Arial;Arial"/>
          <w:b/>
          <w:bCs/>
          <w:sz w:val="19"/>
          <w:szCs w:val="19"/>
        </w:rPr>
      </w:pPr>
      <w:r>
        <w:rPr>
          <w:rFonts w:eastAsia="Arial;Arial" w:cs="Arial;Arial" w:ascii="Arial;Arial" w:hAnsi="Arial;Arial"/>
          <w:b/>
          <w:bCs/>
          <w:sz w:val="19"/>
          <w:szCs w:val="19"/>
        </w:rPr>
      </w:r>
    </w:p>
    <w:p>
      <w:pPr>
        <w:pStyle w:val="BodyText3"/>
        <w:rPr>
          <w:rFonts w:ascii="Arial;Arial" w:hAnsi="Arial;Arial" w:eastAsia="Arial;Arial" w:cs="Arial;Arial"/>
          <w:b/>
          <w:bCs/>
          <w:sz w:val="19"/>
          <w:szCs w:val="19"/>
        </w:rPr>
      </w:pPr>
      <w:r>
        <w:rPr>
          <w:rFonts w:eastAsia="Arial;Arial" w:cs="Arial;Arial" w:ascii="Arial;Arial" w:hAnsi="Arial;Arial"/>
          <w:b/>
          <w:bCs/>
          <w:sz w:val="19"/>
          <w:szCs w:val="19"/>
        </w:rPr>
      </w:r>
    </w:p>
    <w:p>
      <w:pPr>
        <w:pStyle w:val="BodyText3"/>
        <w:rPr>
          <w:rFonts w:ascii="Arial;Arial" w:hAnsi="Arial;Arial" w:eastAsia="Arial;Arial" w:cs="Arial;Arial"/>
          <w:sz w:val="19"/>
          <w:szCs w:val="19"/>
        </w:rPr>
      </w:pPr>
      <w:r>
        <w:rPr>
          <w:rFonts w:eastAsia="Arial;Arial" w:cs="Arial;Arial" w:ascii="Arial;Arial" w:hAnsi="Arial;Arial"/>
          <w:sz w:val="19"/>
          <w:szCs w:val="19"/>
        </w:rPr>
      </w:r>
    </w:p>
    <w:p>
      <w:pPr>
        <w:pStyle w:val="BodyText3"/>
        <w:rPr>
          <w:rFonts w:ascii="Arial;Arial" w:hAnsi="Arial;Arial" w:eastAsia="Arial;Arial" w:cs="Arial;Arial"/>
          <w:sz w:val="19"/>
          <w:szCs w:val="19"/>
        </w:rPr>
      </w:pPr>
      <w:r>
        <w:rPr>
          <w:rFonts w:eastAsia="Arial;Arial" w:cs="Arial;Arial" w:ascii="Arial;Arial" w:hAnsi="Arial;Arial"/>
          <w:sz w:val="19"/>
          <w:szCs w:val="19"/>
        </w:rPr>
      </w:r>
    </w:p>
    <w:p>
      <w:pPr>
        <w:pStyle w:val="Normal"/>
        <w:jc w:val="both"/>
        <w:rPr>
          <w:rFonts w:ascii="Arial;Arial" w:hAnsi="Arial;Arial" w:eastAsia="Arial;Arial" w:cs="Arial;Arial"/>
          <w:sz w:val="19"/>
          <w:szCs w:val="19"/>
        </w:rPr>
      </w:pPr>
      <w:r>
        <w:rPr>
          <w:rFonts w:eastAsia="Arial;Arial" w:cs="Arial;Arial" w:ascii="Arial;Arial" w:hAnsi="Arial;Arial"/>
          <w:sz w:val="19"/>
          <w:szCs w:val="19"/>
        </w:rPr>
        <w:t>KEJ:jk</w:t>
      </w:r>
    </w:p>
    <w:tbl>
      <w:tblPr>
        <w:tblW w:w="7218" w:type="dxa"/>
        <w:jc w:val="start"/>
        <w:tblInd w:w="0" w:type="dxa"/>
        <w:tblLayout w:type="fixed"/>
        <w:tblCellMar>
          <w:top w:w="0" w:type="dxa"/>
          <w:start w:w="108" w:type="dxa"/>
          <w:bottom w:w="0" w:type="dxa"/>
          <w:end w:w="108" w:type="dxa"/>
        </w:tblCellMar>
      </w:tblPr>
      <w:tblGrid>
        <w:gridCol w:w="828"/>
        <w:gridCol w:w="6390"/>
      </w:tblGrid>
      <w:tr>
        <w:trPr/>
        <w:tc>
          <w:tcPr>
            <w:tcW w:w="828" w:type="dxa"/>
            <w:tcBorders/>
          </w:tcPr>
          <w:p>
            <w:pPr>
              <w:pStyle w:val="Normal"/>
              <w:spacing w:before="0" w:after="120"/>
              <w:jc w:val="both"/>
              <w:rPr>
                <w:rFonts w:ascii="Arial;Arial" w:hAnsi="Arial;Arial" w:eastAsia="Arial;Arial" w:cs="Arial;Arial"/>
                <w:sz w:val="19"/>
                <w:szCs w:val="19"/>
              </w:rPr>
            </w:pPr>
            <w:r>
              <w:rPr>
                <w:rFonts w:eastAsia="Arial;Arial" w:cs="Arial;Arial" w:ascii="Arial;Arial" w:hAnsi="Arial;Arial"/>
                <w:sz w:val="19"/>
                <w:szCs w:val="19"/>
              </w:rPr>
              <w:t>cc:</w:t>
            </w:r>
          </w:p>
        </w:tc>
        <w:tc>
          <w:tcPr>
            <w:tcW w:w="6390" w:type="dxa"/>
            <w:tcBorders/>
          </w:tcPr>
          <w:p>
            <w:pPr>
              <w:pStyle w:val="Normal"/>
              <w:rPr>
                <w:rFonts w:ascii="Arial;Arial" w:hAnsi="Arial;Arial" w:eastAsia="Arial;Arial" w:cs="Arial;Arial"/>
                <w:sz w:val="19"/>
                <w:szCs w:val="19"/>
              </w:rPr>
            </w:pPr>
            <w:r>
              <w:rPr>
                <w:rFonts w:eastAsia="Arial;Arial" w:cs="Arial;Arial" w:ascii="Arial;Arial" w:hAnsi="Arial;Arial"/>
                <w:sz w:val="19"/>
                <w:szCs w:val="19"/>
              </w:rPr>
              <w:t>David Parquet</w:t>
              <w:br/>
              <w:t>Andy Kelemen</w:t>
            </w:r>
          </w:p>
          <w:p>
            <w:pPr>
              <w:pStyle w:val="Normal"/>
              <w:rPr>
                <w:rFonts w:ascii="Arial;Arial" w:hAnsi="Arial;Arial" w:eastAsia="Arial;Arial" w:cs="Arial;Arial"/>
                <w:sz w:val="19"/>
                <w:szCs w:val="19"/>
              </w:rPr>
            </w:pPr>
            <w:r>
              <w:rPr>
                <w:rFonts w:eastAsia="Arial;Arial" w:cs="Arial;Arial" w:ascii="Arial;Arial" w:hAnsi="Arial;Arial"/>
                <w:sz w:val="19"/>
                <w:szCs w:val="19"/>
              </w:rPr>
              <w:t>Chip Schneider</w:t>
            </w:r>
          </w:p>
          <w:p>
            <w:pPr>
              <w:pStyle w:val="Normal"/>
              <w:rPr>
                <w:rFonts w:ascii="Arial;Arial" w:hAnsi="Arial;Arial" w:eastAsia="Arial;Arial" w:cs="Arial;Arial"/>
                <w:sz w:val="19"/>
                <w:szCs w:val="19"/>
              </w:rPr>
            </w:pPr>
            <w:r>
              <w:rPr>
                <w:rFonts w:eastAsia="Arial;Arial" w:cs="Arial;Arial" w:ascii="Arial;Arial" w:hAnsi="Arial;Arial"/>
                <w:sz w:val="19"/>
                <w:szCs w:val="19"/>
              </w:rPr>
              <w:t>Sheila Tweed</w:t>
            </w:r>
          </w:p>
        </w:tc>
      </w:tr>
    </w:tbl>
    <w:p>
      <w:pPr>
        <w:pStyle w:val="Normal"/>
        <w:jc w:val="both"/>
        <w:rPr>
          <w:rFonts w:ascii="Arial;Arial" w:hAnsi="Arial;Arial" w:eastAsia="Arial;Arial" w:cs="Arial;Arial"/>
          <w:sz w:val="19"/>
          <w:szCs w:val="19"/>
        </w:rPr>
      </w:pPr>
      <w:r>
        <w:rPr>
          <w:rFonts w:eastAsia="Arial;Arial" w:cs="Arial;Arial" w:ascii="Arial;Arial" w:hAnsi="Arial;Arial"/>
          <w:sz w:val="19"/>
          <w:szCs w:val="19"/>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3"/>
        <w:szCs w:val="13"/>
      </w:rPr>
      <w:fldChar w:fldCharType="begin"/>
    </w:r>
    <w:r>
      <w:rPr>
        <w:sz w:val="13"/>
        <w:szCs w:val="13"/>
      </w:rPr>
      <w:instrText xml:space="preserve"> FILENAME \p </w:instrText>
    </w:r>
    <w:r>
      <w:rPr>
        <w:sz w:val="13"/>
        <w:szCs w:val="13"/>
      </w:rPr>
      <w:fldChar w:fldCharType="separate"/>
    </w:r>
    <w:r>
      <w:rPr>
        <w:sz w:val="13"/>
        <w:szCs w:val="13"/>
      </w:rPr>
      <w:t>/mnt/main-storage/datasets/enron-docs/doc/Pastoria__Sale_to_Calpine__v2.doc</w:t>
    </w:r>
    <w:r>
      <w:rPr>
        <w:sz w:val="13"/>
        <w:szCs w:val="13"/>
      </w:rPr>
      <w:fldChar w:fldCharType="end"/>
    </w:r>
    <w:r>
      <w:rPr>
        <w:sz w:val="13"/>
        <w:szCs w:val="13"/>
      </w:rPr>
      <w:tab/>
      <w:t xml:space="preserve">Page </w:t>
    </w:r>
    <w:r>
      <w:rPr>
        <w:rStyle w:val="PageNumber"/>
        <w:sz w:val="13"/>
        <w:szCs w:val="13"/>
      </w:rPr>
      <w:fldChar w:fldCharType="begin"/>
    </w:r>
    <w:r>
      <w:rPr>
        <w:rStyle w:val="PageNumber"/>
        <w:sz w:val="13"/>
        <w:szCs w:val="13"/>
      </w:rPr>
      <w:instrText xml:space="preserve"> PAGE </w:instrText>
    </w:r>
    <w:r>
      <w:rPr>
        <w:rStyle w:val="PageNumber"/>
        <w:sz w:val="13"/>
        <w:szCs w:val="13"/>
      </w:rPr>
      <w:fldChar w:fldCharType="separate"/>
    </w:r>
    <w:r>
      <w:rPr>
        <w:rStyle w:val="PageNumber"/>
        <w:sz w:val="13"/>
        <w:szCs w:val="13"/>
      </w:rPr>
      <w:t>3</w:t>
    </w:r>
    <w:r>
      <w:rPr>
        <w:rStyle w:val="PageNumber"/>
        <w:sz w:val="13"/>
        <w:szCs w:val="1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3"/>
        <w:szCs w:val="13"/>
      </w:rPr>
    </w:pPr>
    <w:r>
      <w:rPr>
        <w:sz w:val="13"/>
        <w:szCs w:val="13"/>
      </w:rPr>
    </w:r>
  </w:p>
  <w:p>
    <w:pPr>
      <w:pStyle w:val="Footer"/>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/mnt/main-storage/datasets/enron-docs/doc/Pastoria__Sale_to_Calpine__v2.doc</w:t>
    </w:r>
    <w:r>
      <w:rPr>
        <w:sz w:val="10"/>
        <w:szCs w:val="10"/>
      </w:rPr>
      <w:fldChar w:fldCharType="end"/>
    </w:r>
  </w:p>
  <w:p>
    <w:pPr>
      <w:pStyle w:val="Footer"/>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bCs/>
        <w:sz w:val="30"/>
        <w:szCs w:val="30"/>
      </w:rPr>
    </w:pPr>
    <w:r>
      <w:rPr>
        <w:b/>
        <w:bCs/>
        <w:sz w:val="30"/>
        <w:szCs w:val="30"/>
      </w:rPr>
      <w:t>Interoffice</w:t>
    </w:r>
  </w:p>
  <w:p>
    <w:pPr>
      <w:pStyle w:val="Header"/>
      <w:ind w:start="6192" w:end="0"/>
      <w:rPr>
        <w:b/>
        <w:bCs/>
        <w:sz w:val="30"/>
        <w:szCs w:val="30"/>
      </w:rPr>
    </w:pPr>
    <w:r>
      <w:rPr>
        <w:b/>
        <w:bCs/>
        <w:sz w:val="30"/>
        <w:szCs w:val="30"/>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b/>
      <w:bCs/>
      <w:sz w:val="36"/>
      <w:szCs w:val="36"/>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Arial" w:hAnsi="Arial;Arial" w:eastAsia="Arial;Arial" w:cs="Arial;Arial"/>
      <w:b/>
      <w:bCs/>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ind w:hanging="3600" w:start="3600" w:end="0"/>
      <w:jc w:val="both"/>
    </w:pPr>
    <w:rPr>
      <w:sz w:val="17"/>
      <w:szCs w:val="17"/>
    </w:rPr>
  </w:style>
  <w:style w:type="paragraph" w:styleId="BodyText3">
    <w:name w:val="Body Text 3"/>
    <w:basedOn w:val="Normal"/>
    <w:qFormat/>
    <w:pPr>
      <w:jc w:val="both"/>
    </w:pPr>
    <w:rPr>
      <w:sz w:val="17"/>
      <w:szCs w:val="17"/>
    </w:rPr>
  </w:style>
  <w:style w:type="paragraph" w:styleId="Subtitle">
    <w:name w:val="Subtitle"/>
    <w:basedOn w:val="Normal"/>
    <w:next w:val="BodyText"/>
    <w:qFormat/>
    <w:pPr>
      <w:jc w:val="both"/>
    </w:pPr>
    <w:rPr>
      <w:rFonts w:ascii="Arial;Arial" w:hAnsi="Arial;Arial" w:eastAsia="Arial;Arial" w:cs="Arial;Arial"/>
      <w:b/>
      <w:bCs/>
      <w:sz w:val="32"/>
      <w:szCs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2001-03-07T23:39:00Z</dcterms:created>
  <dc:creator>appinst</dc:creator>
  <dc:description/>
  <dc:language>en-CA</dc:language>
  <cp:lastModifiedBy>kjones</cp:lastModifiedBy>
  <cp:lastPrinted>2001-03-07T18:44:00Z</cp:lastPrinted>
  <dcterms:modified xsi:type="dcterms:W3CDTF">2001-03-08T00:14:00Z</dcterms:modified>
  <cp:revision>1</cp:revision>
  <dc:subject/>
  <dc:title> </dc:title>
</cp:coreProperties>
</file>