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ableImpColHd"/>
        <w:keepNext w:val="false"/>
        <w:keepLines w:val="false"/>
        <w:spacing w:before="0" w:after="0"/>
        <w:rPr>
          <w:kern w:val="0"/>
          <w:sz w:val="36"/>
        </w:rPr>
      </w:pPr>
      <w:r>
        <w:rPr>
          <w:kern w:val="0"/>
          <w:sz w:val="36"/>
        </w:rPr>
        <w:t>3-C. Pastoria Energy Facility</w:t>
      </w:r>
    </w:p>
    <w:p>
      <w:pPr>
        <w:pStyle w:val="DLJCoverPage2"/>
        <w:rPr>
          <w:rFonts w:ascii="Arial" w:hAnsi="Arial" w:cs="Arial"/>
          <w:kern w:val="0"/>
          <w:sz w:val="36"/>
        </w:rPr>
      </w:pPr>
      <w:r>
        <w:rPr>
          <w:rFonts w:cs="Arial" w:ascii="Arial" w:hAnsi="Arial"/>
          <w:kern w:val="0"/>
          <w:sz w:val="36"/>
        </w:rPr>
      </w:r>
    </w:p>
    <w:p>
      <w:pPr>
        <w:pStyle w:val="DLJCoverPage2"/>
        <w:rPr>
          <w:rFonts w:ascii="Arial" w:hAnsi="Arial" w:cs="Arial"/>
          <w:sz w:val="32"/>
        </w:rPr>
      </w:pPr>
      <w:r>
        <w:rPr>
          <w:rFonts w:cs="Arial" w:ascii="Arial" w:hAnsi="Arial"/>
          <w:sz w:val="32"/>
        </w:rPr>
        <w:t>3-C-I. Investment Merits of Pastoria Energy Facility</w:t>
      </w:r>
    </w:p>
    <w:p>
      <w:pPr>
        <w:pStyle w:val="DLJCoverPage2"/>
        <w:rPr>
          <w:rFonts w:ascii="Arial" w:hAnsi="Arial" w:cs="Arial"/>
          <w:sz w:val="20"/>
        </w:rPr>
      </w:pPr>
      <w:r>
        <w:rPr>
          <w:rFonts w:cs="Arial" w:ascii="Arial" w:hAnsi="Arial"/>
          <w:sz w:val="20"/>
        </w:rPr>
      </w:r>
    </w:p>
    <w:p>
      <w:pPr>
        <w:pStyle w:val="Sub0"/>
        <w:spacing w:before="120" w:after="0"/>
        <w:rPr/>
      </w:pPr>
      <w:r>
        <w:rPr/>
        <w:t>Attractive Location</w:t>
      </w:r>
    </w:p>
    <w:p>
      <w:pPr>
        <w:pStyle w:val="A0b"/>
        <w:numPr>
          <w:ilvl w:val="0"/>
          <w:numId w:val="3"/>
        </w:numPr>
        <w:spacing w:before="120" w:after="0"/>
        <w:ind w:hanging="0" w:start="0"/>
        <w:rPr/>
      </w:pPr>
      <w:r>
        <w:rPr/>
        <w:t>Strategically located in close proximity to Southern California Edison’s (“SCE”) Pastoria Substation</w:t>
      </w:r>
    </w:p>
    <w:p>
      <w:pPr>
        <w:pStyle w:val="A0b"/>
        <w:numPr>
          <w:ilvl w:val="0"/>
          <w:numId w:val="3"/>
        </w:numPr>
        <w:spacing w:before="120" w:after="0"/>
        <w:ind w:hanging="0" w:start="0"/>
        <w:rPr/>
      </w:pPr>
      <w:r>
        <w:rPr/>
        <w:t>Direct interconnection to the gas pipeline owned jointly by Kern River Gas Transmission Company and Mojave Pipeline Company (“Kern/Mojave”) will avoid intrastate transportation charges</w:t>
      </w:r>
    </w:p>
    <w:p>
      <w:pPr>
        <w:pStyle w:val="A0b"/>
        <w:numPr>
          <w:ilvl w:val="0"/>
          <w:numId w:val="3"/>
        </w:numPr>
        <w:spacing w:before="120" w:after="0"/>
        <w:ind w:hanging="0" w:start="0"/>
        <w:rPr/>
      </w:pPr>
      <w:r>
        <w:rPr/>
        <w:t>Located in California’s more favorable and less congested SP-15 pricing zone</w:t>
      </w:r>
    </w:p>
    <w:p>
      <w:pPr>
        <w:pStyle w:val="A0b"/>
        <w:numPr>
          <w:ilvl w:val="0"/>
          <w:numId w:val="3"/>
        </w:numPr>
        <w:spacing w:before="120" w:after="0"/>
        <w:ind w:hanging="0" w:start="0"/>
        <w:rPr/>
      </w:pPr>
      <w:r>
        <w:rPr/>
        <w:t>The 800 MW Edmonston Pumping Station of the California Department of Water Resources (“DWR”), a large power consumer and potential customer, is located less than two miles from the project</w:t>
      </w:r>
    </w:p>
    <w:p>
      <w:pPr>
        <w:pStyle w:val="A0b"/>
        <w:numPr>
          <w:ilvl w:val="0"/>
          <w:numId w:val="3"/>
        </w:numPr>
        <w:spacing w:before="120" w:after="0"/>
        <w:ind w:hanging="0" w:start="0"/>
        <w:rPr/>
      </w:pPr>
      <w:r>
        <w:rPr/>
        <w:t>As an early entrant to the growing California market, Pastoria Energy Facility is well positioned to meet California’s growing power requirements and compete with existing generation capacity</w:t>
      </w:r>
    </w:p>
    <w:p>
      <w:pPr>
        <w:pStyle w:val="Sub0"/>
        <w:spacing w:before="120" w:after="0"/>
        <w:rPr>
          <w:sz w:val="20"/>
        </w:rPr>
      </w:pPr>
      <w:r>
        <w:rPr>
          <w:sz w:val="20"/>
        </w:rPr>
      </w:r>
    </w:p>
    <w:p>
      <w:pPr>
        <w:pStyle w:val="Sub0"/>
        <w:spacing w:before="120" w:after="0"/>
        <w:rPr/>
      </w:pPr>
      <w:r>
        <w:rPr/>
        <w:t>Advanced Stage of Development</w:t>
      </w:r>
    </w:p>
    <w:p>
      <w:pPr>
        <w:pStyle w:val="A0b"/>
        <w:numPr>
          <w:ilvl w:val="0"/>
          <w:numId w:val="3"/>
        </w:numPr>
        <w:spacing w:before="120" w:after="0"/>
        <w:ind w:hanging="0" w:start="0"/>
        <w:rPr/>
      </w:pPr>
      <w:r>
        <w:rPr/>
        <w:t>Enron North America is in the advanced stages of development of the Pastoria Energy Facility and expects to receive CEC approval for construction and operation of the project by December 31, 2000, inclusive of the 30-day rehearing period required by state law.</w:t>
      </w:r>
    </w:p>
    <w:p>
      <w:pPr>
        <w:pStyle w:val="Sub0"/>
        <w:spacing w:before="120" w:after="0"/>
        <w:rPr>
          <w:sz w:val="20"/>
        </w:rPr>
      </w:pPr>
      <w:r>
        <w:rPr>
          <w:sz w:val="20"/>
        </w:rPr>
      </w:r>
    </w:p>
    <w:p>
      <w:pPr>
        <w:pStyle w:val="Sub0"/>
        <w:spacing w:before="120" w:after="0"/>
        <w:rPr/>
      </w:pPr>
      <w:r>
        <w:rPr/>
        <w:t>Emission Reduction Credits (“ERC’s”) Obtained</w:t>
      </w:r>
    </w:p>
    <w:p>
      <w:pPr>
        <w:pStyle w:val="A0b"/>
        <w:numPr>
          <w:ilvl w:val="0"/>
          <w:numId w:val="3"/>
        </w:numPr>
        <w:spacing w:before="120" w:after="0"/>
        <w:ind w:hanging="0" w:start="0"/>
        <w:rPr/>
      </w:pPr>
      <w:r>
        <w:rPr/>
        <w:t>Enron North America has acquired all ERCs required to construct and operate the project</w:t>
      </w:r>
    </w:p>
    <w:p>
      <w:pPr>
        <w:pStyle w:val="A0b"/>
        <w:numPr>
          <w:ilvl w:val="0"/>
          <w:numId w:val="3"/>
        </w:numPr>
        <w:spacing w:before="120" w:after="0"/>
        <w:ind w:hanging="0" w:start="0"/>
        <w:rPr/>
      </w:pPr>
      <w:r>
        <w:rPr/>
        <w:t>These ERCs represent virtually all credits available for sale in the San Joaquin Valley Unified Air Pollution Control District (the “Air District”) bank that comply with Federal New Source rules</w:t>
      </w:r>
    </w:p>
    <w:p>
      <w:pPr>
        <w:pStyle w:val="Sub0"/>
        <w:spacing w:before="120" w:after="0"/>
        <w:rPr>
          <w:sz w:val="20"/>
        </w:rPr>
      </w:pPr>
      <w:r>
        <w:rPr>
          <w:sz w:val="20"/>
        </w:rPr>
      </w:r>
    </w:p>
    <w:p>
      <w:pPr>
        <w:pStyle w:val="Sub0"/>
        <w:spacing w:before="120" w:after="0"/>
        <w:rPr/>
      </w:pPr>
      <w:r>
        <w:rPr/>
        <w:t>Firm Commitment for Equipment</w:t>
      </w:r>
    </w:p>
    <w:p>
      <w:pPr>
        <w:pStyle w:val="A0b"/>
        <w:numPr>
          <w:ilvl w:val="0"/>
          <w:numId w:val="3"/>
        </w:numPr>
        <w:spacing w:before="120" w:after="0"/>
        <w:ind w:hanging="0" w:start="0"/>
        <w:rPr/>
      </w:pPr>
      <w:r>
        <w:rPr/>
        <w:t>Firm contractual arrangements with General Electric (“GE”) for the turbines will support a June 2003 commercial operations date</w:t>
      </w:r>
    </w:p>
    <w:p>
      <w:pPr>
        <w:pStyle w:val="A0b"/>
        <w:numPr>
          <w:ilvl w:val="0"/>
          <w:numId w:val="0"/>
        </w:numPr>
        <w:spacing w:before="120" w:after="0"/>
        <w:ind w:hanging="0" w:start="0"/>
        <w:rPr/>
      </w:pPr>
      <w:r>
        <w:rPr/>
      </w:r>
    </w:p>
    <w:p>
      <w:pPr>
        <w:pStyle w:val="Sub0"/>
        <w:spacing w:before="120" w:after="0"/>
        <w:rPr/>
      </w:pPr>
      <w:r>
        <w:rPr/>
        <w:t>Engineering, Procurement and Construction (“EPC”) Agreement Negotiated</w:t>
      </w:r>
    </w:p>
    <w:p>
      <w:pPr>
        <w:pStyle w:val="A0b"/>
        <w:numPr>
          <w:ilvl w:val="0"/>
          <w:numId w:val="3"/>
        </w:numPr>
        <w:spacing w:before="120" w:after="0"/>
        <w:ind w:hanging="0" w:start="0"/>
        <w:rPr/>
      </w:pPr>
      <w:r>
        <w:rPr/>
        <w:t>Enron North America will have negotiated, but not executed, a market-based EPC agreement, including performance and completion guarantees with National Energy Production Corporation (“NEPCO”), an affiliate of Enron North America</w:t>
      </w:r>
    </w:p>
    <w:p>
      <w:pPr>
        <w:pStyle w:val="A0b"/>
        <w:numPr>
          <w:ilvl w:val="0"/>
          <w:numId w:val="0"/>
        </w:numPr>
        <w:spacing w:before="120" w:after="0"/>
        <w:ind w:hanging="0" w:start="0"/>
        <w:rPr/>
      </w:pPr>
      <w:r>
        <w:rPr/>
      </w:r>
    </w:p>
    <w:p>
      <w:pPr>
        <w:pStyle w:val="Sub0"/>
        <w:spacing w:before="120" w:after="0"/>
        <w:rPr/>
      </w:pPr>
      <w:r>
        <w:rPr/>
        <w:t>Significant Barriers to Entry</w:t>
      </w:r>
    </w:p>
    <w:p>
      <w:pPr>
        <w:pStyle w:val="A0b"/>
        <w:numPr>
          <w:ilvl w:val="0"/>
          <w:numId w:val="3"/>
        </w:numPr>
        <w:spacing w:before="120" w:after="0"/>
        <w:ind w:hanging="0" w:start="0"/>
        <w:rPr/>
      </w:pPr>
      <w:r>
        <w:rPr/>
        <w:t>Enron North America has overcome many barriers to entry to develop a new power plant in California, including:</w:t>
      </w:r>
    </w:p>
    <w:p>
      <w:pPr>
        <w:pStyle w:val="A0bbox"/>
        <w:numPr>
          <w:ilvl w:val="0"/>
          <w:numId w:val="2"/>
        </w:numPr>
        <w:spacing w:before="120" w:after="0"/>
        <w:ind w:hanging="360" w:start="2700" w:end="0"/>
        <w:rPr/>
      </w:pPr>
      <w:r>
        <w:rPr/>
        <w:t xml:space="preserve">secured access to water rights </w:t>
      </w:r>
    </w:p>
    <w:p>
      <w:pPr>
        <w:pStyle w:val="A0bbox"/>
        <w:numPr>
          <w:ilvl w:val="0"/>
          <w:numId w:val="2"/>
        </w:numPr>
        <w:spacing w:before="120" w:after="0"/>
        <w:ind w:hanging="360" w:start="2700" w:end="0"/>
        <w:rPr/>
      </w:pPr>
      <w:r>
        <w:rPr/>
        <w:t xml:space="preserve">purchased ERCs </w:t>
      </w:r>
    </w:p>
    <w:p>
      <w:pPr>
        <w:pStyle w:val="A0bbox"/>
        <w:numPr>
          <w:ilvl w:val="0"/>
          <w:numId w:val="2"/>
        </w:numPr>
        <w:spacing w:before="120" w:after="0"/>
        <w:ind w:hanging="360" w:start="2700" w:end="0"/>
        <w:rPr/>
      </w:pPr>
      <w:r>
        <w:rPr/>
        <w:t xml:space="preserve">met air quality standards </w:t>
      </w:r>
    </w:p>
    <w:p>
      <w:pPr>
        <w:pStyle w:val="A0bbox"/>
        <w:numPr>
          <w:ilvl w:val="0"/>
          <w:numId w:val="2"/>
        </w:numPr>
        <w:spacing w:before="120" w:after="0"/>
        <w:ind w:hanging="360" w:start="2700" w:end="0"/>
        <w:rPr/>
      </w:pPr>
      <w:r>
        <w:rPr/>
        <w:t xml:space="preserve">secured access to appropriately zoned property </w:t>
      </w:r>
    </w:p>
    <w:p>
      <w:pPr>
        <w:pStyle w:val="A0bbox"/>
        <w:numPr>
          <w:ilvl w:val="0"/>
          <w:numId w:val="2"/>
        </w:numPr>
        <w:spacing w:before="120" w:after="0"/>
        <w:ind w:hanging="360" w:start="2700" w:end="0"/>
        <w:rPr/>
      </w:pPr>
      <w:r>
        <w:rPr/>
        <w:t>negotiated transmission interconnections into SCE’s Pastoria Substation</w:t>
      </w:r>
    </w:p>
    <w:p>
      <w:pPr>
        <w:pStyle w:val="A0bbox"/>
        <w:numPr>
          <w:ilvl w:val="0"/>
          <w:numId w:val="2"/>
        </w:numPr>
        <w:spacing w:before="120" w:after="0"/>
        <w:ind w:hanging="360" w:start="2700" w:end="0"/>
        <w:rPr/>
      </w:pPr>
      <w:r>
        <w:rPr/>
        <w:t xml:space="preserve">signed contract with GE for turbines for the Pastoria Energy Facility </w:t>
      </w:r>
    </w:p>
    <w:p>
      <w:pPr>
        <w:pStyle w:val="A0b"/>
        <w:numPr>
          <w:ilvl w:val="0"/>
          <w:numId w:val="3"/>
        </w:numPr>
        <w:spacing w:before="120" w:after="0"/>
        <w:ind w:hanging="0" w:start="0"/>
        <w:rPr/>
      </w:pPr>
      <w:r>
        <w:rPr/>
        <w:t>Inability to overcome any of these obstacles could prevent or significantly delay competing plants from being constructed or operating economically</w:t>
      </w:r>
    </w:p>
    <w:p>
      <w:pPr>
        <w:pStyle w:val="Normal"/>
        <w:rPr>
          <w:rFonts w:ascii="Arial" w:hAnsi="Arial" w:cs="Arial"/>
          <w:b/>
          <w:sz w:val="28"/>
        </w:rPr>
      </w:pPr>
      <w:r>
        <w:rPr>
          <w:rFonts w:cs="Arial" w:ascii="Arial" w:hAnsi="Arial"/>
          <w:b/>
          <w:sz w:val="28"/>
        </w:rPr>
      </w:r>
    </w:p>
    <w:p>
      <w:pPr>
        <w:pStyle w:val="DLJCoverPage2"/>
        <w:rPr>
          <w:rFonts w:ascii="Arial" w:hAnsi="Arial" w:cs="Arial"/>
          <w:b w:val="false"/>
          <w:sz w:val="28"/>
        </w:rPr>
      </w:pPr>
      <w:r>
        <w:rPr>
          <w:rFonts w:cs="Arial" w:ascii="Arial" w:hAnsi="Arial"/>
          <w:b w:val="false"/>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TableImpColHd"/>
        <w:keepNext w:val="false"/>
        <w:keepLines w:val="false"/>
        <w:spacing w:before="0" w:after="0"/>
        <w:rPr>
          <w:kern w:val="0"/>
        </w:rPr>
      </w:pPr>
      <w:r>
        <w:rPr>
          <w:kern w:val="0"/>
        </w:rPr>
        <w:t>3-C-II. Location of Pastoria</w:t>
      </w:r>
    </w:p>
    <w:p>
      <w:pPr>
        <w:pStyle w:val="DLJCoverPage2"/>
        <w:rPr>
          <w:rFonts w:ascii="Arial" w:hAnsi="Arial" w:cs="Arial"/>
          <w:kern w:val="0"/>
          <w:lang w:val="en-CA"/>
        </w:rPr>
      </w:pPr>
      <w:r>
        <w:rPr>
          <w:rFonts w:cs="Arial" w:ascii="Arial" w:hAnsi="Arial"/>
          <w:kern w:val="0"/>
          <w:lang w:val="en-CA"/>
        </w:rPr>
        <mc:AlternateContent>
          <mc:Choice Requires="wpg">
            <w:drawing>
              <wp:anchor behindDoc="0" distT="0" distB="0" distL="114935" distR="114935" simplePos="0" locked="0" layoutInCell="1" allowOverlap="1" relativeHeight="2">
                <wp:simplePos x="0" y="0"/>
                <wp:positionH relativeFrom="column">
                  <wp:posOffset>502920</wp:posOffset>
                </wp:positionH>
                <wp:positionV relativeFrom="paragraph">
                  <wp:posOffset>199390</wp:posOffset>
                </wp:positionV>
                <wp:extent cx="4754245" cy="6424295"/>
                <wp:effectExtent l="0" t="0" r="0" b="0"/>
                <wp:wrapNone/>
                <wp:docPr id="1" name=""/>
                <a:graphic xmlns:a="http://schemas.openxmlformats.org/drawingml/2006/main">
                  <a:graphicData uri="http://schemas.microsoft.com/office/word/2010/wordprocessingGroup">
                    <wpg:wgp>
                      <wpg:cNvGrpSpPr/>
                      <wpg:grpSpPr>
                        <a:xfrm>
                          <a:off x="0" y="0"/>
                          <a:ext cx="4754160" cy="6424200"/>
                          <a:chOff x="0" y="0"/>
                          <a:chExt cx="4754160" cy="6424200"/>
                        </a:xfrm>
                      </wpg:grpSpPr>
                      <pic:pic xmlns:pic="http://schemas.openxmlformats.org/drawingml/2006/picture">
                        <pic:nvPicPr>
                          <pic:cNvPr id="2" name="" descr=""/>
                          <pic:cNvPicPr/>
                        </pic:nvPicPr>
                        <pic:blipFill>
                          <a:blip r:embed="rId2"/>
                          <a:stretch/>
                        </pic:blipFill>
                        <pic:spPr>
                          <a:xfrm>
                            <a:off x="0" y="0"/>
                            <a:ext cx="4754160" cy="6424200"/>
                          </a:xfrm>
                          <a:prstGeom prst="rect">
                            <a:avLst/>
                          </a:prstGeom>
                          <a:noFill/>
                          <a:ln w="0">
                            <a:noFill/>
                          </a:ln>
                        </pic:spPr>
                      </pic:pic>
                      <wps:wsp>
                        <wps:cNvPr id="3" name=""/>
                        <wps:cNvSpPr/>
                        <wps:spPr>
                          <a:xfrm>
                            <a:off x="2010960" y="2849400"/>
                            <a:ext cx="324360" cy="198720"/>
                          </a:xfrm>
                          <a:prstGeom prst="rect">
                            <a:avLst/>
                          </a:prstGeom>
                          <a:noFill/>
                          <a:ln w="0">
                            <a:noFill/>
                          </a:ln>
                        </wps:spPr>
                        <wps:style>
                          <a:lnRef idx="0"/>
                          <a:fillRef idx="0"/>
                          <a:effectRef idx="0"/>
                          <a:fontRef idx="minor"/>
                        </wps:style>
                        <wps:bodyPr/>
                      </wps:wsp>
                      <wps:wsp>
                        <wps:cNvPr id="4" name=""/>
                        <wps:cNvSpPr/>
                        <wps:spPr>
                          <a:xfrm>
                            <a:off x="2226240" y="2858040"/>
                            <a:ext cx="453960" cy="153000"/>
                          </a:xfrm>
                          <a:prstGeom prst="rect">
                            <a:avLst/>
                          </a:prstGeom>
                          <a:noFill/>
                          <a:ln w="0">
                            <a:noFill/>
                          </a:ln>
                        </wps:spPr>
                        <wps:style>
                          <a:lnRef idx="0"/>
                          <a:fillRef idx="0"/>
                          <a:effectRef idx="0"/>
                          <a:fontRef idx="minor"/>
                        </wps:style>
                        <wps:bodyPr/>
                      </wps:wsp>
                      <wps:wsp>
                        <wps:cNvPr id="5" name=""/>
                        <wps:cNvSpPr/>
                        <wps:spPr>
                          <a:xfrm>
                            <a:off x="2427120" y="2991960"/>
                            <a:ext cx="255960" cy="161280"/>
                          </a:xfrm>
                          <a:prstGeom prst="rect">
                            <a:avLst/>
                          </a:prstGeom>
                          <a:noFill/>
                          <a:ln w="0">
                            <a:noFill/>
                          </a:ln>
                        </wps:spPr>
                        <wps:style>
                          <a:lnRef idx="0"/>
                          <a:fillRef idx="0"/>
                          <a:effectRef idx="0"/>
                          <a:fontRef idx="minor"/>
                        </wps:style>
                        <wps:bodyPr/>
                      </wps:wsp>
                      <wps:wsp>
                        <wps:cNvPr id="6" name=""/>
                        <wps:cNvSpPr/>
                        <wps:spPr>
                          <a:xfrm>
                            <a:off x="3040560" y="2991960"/>
                            <a:ext cx="133200" cy="161280"/>
                          </a:xfrm>
                          <a:prstGeom prst="rect">
                            <a:avLst/>
                          </a:prstGeom>
                          <a:noFill/>
                          <a:ln w="0">
                            <a:noFill/>
                          </a:ln>
                        </wps:spPr>
                        <wps:style>
                          <a:lnRef idx="0"/>
                          <a:fillRef idx="0"/>
                          <a:effectRef idx="0"/>
                          <a:fontRef idx="minor"/>
                        </wps:style>
                        <wps:bodyPr/>
                      </wps:wsp>
                      <wps:wsp>
                        <wps:cNvPr id="7" name=""/>
                        <wps:cNvSpPr/>
                        <wps:spPr>
                          <a:xfrm>
                            <a:off x="2693160" y="2849400"/>
                            <a:ext cx="172800" cy="198720"/>
                          </a:xfrm>
                          <a:prstGeom prst="rect">
                            <a:avLst/>
                          </a:prstGeom>
                          <a:noFill/>
                          <a:ln w="0">
                            <a:noFill/>
                          </a:ln>
                        </wps:spPr>
                        <wps:style>
                          <a:lnRef idx="0"/>
                          <a:fillRef idx="0"/>
                          <a:effectRef idx="0"/>
                          <a:fontRef idx="minor"/>
                        </wps:style>
                        <wps:bodyPr/>
                      </wps:wsp>
                      <wps:wsp>
                        <wps:cNvPr id="8" name=""/>
                        <wps:cNvSpPr/>
                        <wps:spPr>
                          <a:xfrm>
                            <a:off x="2693160" y="2858040"/>
                            <a:ext cx="128160" cy="186120"/>
                          </a:xfrm>
                          <a:prstGeom prst="rect">
                            <a:avLst/>
                          </a:prstGeom>
                          <a:noFill/>
                          <a:ln w="0">
                            <a:noFill/>
                          </a:ln>
                        </wps:spPr>
                        <wps:style>
                          <a:lnRef idx="0"/>
                          <a:fillRef idx="0"/>
                          <a:effectRef idx="0"/>
                          <a:fontRef idx="minor"/>
                        </wps:style>
                        <wps:bodyPr/>
                      </wps:wsp>
                      <wps:wsp>
                        <wps:cNvPr id="9" name=""/>
                        <wps:cNvSpPr/>
                        <wps:spPr>
                          <a:xfrm>
                            <a:off x="1682640" y="3199680"/>
                            <a:ext cx="1155240" cy="370080"/>
                          </a:xfrm>
                          <a:custGeom>
                            <a:avLst/>
                            <a:gdLst/>
                            <a:ahLst/>
                            <a:rect l="l" t="t" r="r" b="b"/>
                            <a:pathLst>
                              <a:path w="2025" h="423">
                                <a:moveTo>
                                  <a:pt x="298" y="0"/>
                                </a:moveTo>
                                <a:lnTo>
                                  <a:pt x="298" y="168"/>
                                </a:lnTo>
                                <a:lnTo>
                                  <a:pt x="298" y="238"/>
                                </a:lnTo>
                                <a:lnTo>
                                  <a:pt x="298" y="285"/>
                                </a:lnTo>
                                <a:lnTo>
                                  <a:pt x="583" y="285"/>
                                </a:lnTo>
                                <a:lnTo>
                                  <a:pt x="0" y="423"/>
                                </a:lnTo>
                                <a:lnTo>
                                  <a:pt x="1016" y="285"/>
                                </a:lnTo>
                                <a:lnTo>
                                  <a:pt x="2025" y="285"/>
                                </a:lnTo>
                                <a:lnTo>
                                  <a:pt x="2025" y="238"/>
                                </a:lnTo>
                                <a:lnTo>
                                  <a:pt x="2025" y="168"/>
                                </a:lnTo>
                                <a:lnTo>
                                  <a:pt x="2025" y="0"/>
                                </a:lnTo>
                                <a:lnTo>
                                  <a:pt x="1016" y="0"/>
                                </a:lnTo>
                                <a:lnTo>
                                  <a:pt x="583" y="0"/>
                                </a:lnTo>
                                <a:lnTo>
                                  <a:pt x="298" y="0"/>
                                </a:lnTo>
                                <a:close/>
                              </a:path>
                            </a:pathLst>
                          </a:custGeom>
                          <a:solidFill>
                            <a:srgbClr val="3366ff"/>
                          </a:solidFill>
                          <a:ln w="0">
                            <a:noFill/>
                          </a:ln>
                        </wps:spPr>
                        <wps:style>
                          <a:lnRef idx="0"/>
                          <a:fillRef idx="0"/>
                          <a:effectRef idx="0"/>
                          <a:fontRef idx="minor"/>
                        </wps:style>
                        <wps:bodyPr/>
                      </wps:wsp>
                      <wps:wsp>
                        <wps:cNvPr id="10" name=""/>
                        <wps:cNvSpPr/>
                        <wps:spPr>
                          <a:xfrm>
                            <a:off x="1917000" y="3293640"/>
                            <a:ext cx="487800" cy="142200"/>
                          </a:xfrm>
                          <a:prstGeom prst="rect">
                            <a:avLst/>
                          </a:prstGeom>
                          <a:noFill/>
                          <a:ln w="0">
                            <a:noFill/>
                          </a:ln>
                        </wps:spPr>
                        <wps:style>
                          <a:lnRef idx="0"/>
                          <a:fillRef idx="0"/>
                          <a:effectRef idx="0"/>
                          <a:fontRef idx="minor"/>
                        </wps:style>
                        <wps:bodyPr/>
                      </wps:wsp>
                      <wps:wsp>
                        <wps:cNvSpPr txBox="1"/>
                        <wps:spPr>
                          <a:xfrm>
                            <a:off x="1926000" y="3252600"/>
                            <a:ext cx="1012680" cy="180360"/>
                          </a:xfrm>
                          <a:prstGeom prst="rect">
                            <a:avLst/>
                          </a:prstGeom>
                          <a:noFill/>
                          <a:ln w="0">
                            <a:noFill/>
                          </a:ln>
                        </wps:spPr>
                        <wps:txbx>
                          <w:txbxContent>
                            <w:p>
                              <w:pPr>
                                <w:overflowPunct w:val="false"/>
                                <w:bidi w:val="0"/>
                                <w:rPr/>
                              </w:pPr>
                              <w:r>
                                <w:rPr>
                                  <w:kern w:val="2"/>
                                  <w:sz w:val="18"/>
                                  <w:szCs w:val="20"/>
                                  <w:rFonts w:ascii="Arial" w:hAnsi="Arial" w:eastAsia="Times New Roman" w:cs="Arial"/>
                                  <w:color w:val="FFFFFF"/>
                                  <w:lang w:val="en-US" w:eastAsia="en-US"/>
                                </w:rPr>
                                <w:t xml:space="preserve">Pastoria Project </w:t>
                              </w:r>
                            </w:p>
                          </w:txbxContent>
                        </wps:txbx>
                        <wps:bodyPr wrap="square" lIns="0" rIns="0" tIns="0" bIns="0" anchor="t">
                          <a:noAutofit/>
                        </wps:bodyPr>
                      </wps:wsp>
                      <wps:wsp>
                        <wps:cNvPr id="11" name=""/>
                        <wps:cNvSpPr/>
                        <wps:spPr>
                          <a:xfrm>
                            <a:off x="2190240" y="3153240"/>
                            <a:ext cx="586800" cy="197640"/>
                          </a:xfrm>
                          <a:prstGeom prst="rect">
                            <a:avLst/>
                          </a:prstGeom>
                          <a:noFill/>
                          <a:ln w="0">
                            <a:noFill/>
                          </a:ln>
                        </wps:spPr>
                        <wps:style>
                          <a:lnRef idx="0"/>
                          <a:fillRef idx="0"/>
                          <a:effectRef idx="0"/>
                          <a:fontRef idx="minor"/>
                        </wps:style>
                        <wps:bodyPr/>
                      </wps:wsp>
                      <wps:wsp>
                        <wps:cNvPr id="12" name=""/>
                        <wps:cNvSpPr/>
                        <wps:spPr>
                          <a:xfrm>
                            <a:off x="1622520" y="3492000"/>
                            <a:ext cx="117000" cy="120600"/>
                          </a:xfrm>
                          <a:custGeom>
                            <a:avLst/>
                            <a:gdLst/>
                            <a:ahLst/>
                            <a:rect l="l" t="t" r="r" b="b"/>
                            <a:pathLst>
                              <a:path w="173" h="113">
                                <a:moveTo>
                                  <a:pt x="87" y="0"/>
                                </a:moveTo>
                                <a:lnTo>
                                  <a:pt x="65" y="45"/>
                                </a:lnTo>
                                <a:lnTo>
                                  <a:pt x="0" y="45"/>
                                </a:lnTo>
                                <a:lnTo>
                                  <a:pt x="54" y="68"/>
                                </a:lnTo>
                                <a:lnTo>
                                  <a:pt x="33" y="113"/>
                                </a:lnTo>
                                <a:lnTo>
                                  <a:pt x="87" y="85"/>
                                </a:lnTo>
                                <a:lnTo>
                                  <a:pt x="135" y="113"/>
                                </a:lnTo>
                                <a:lnTo>
                                  <a:pt x="116" y="68"/>
                                </a:lnTo>
                                <a:lnTo>
                                  <a:pt x="173" y="45"/>
                                </a:lnTo>
                                <a:lnTo>
                                  <a:pt x="105" y="45"/>
                                </a:lnTo>
                                <a:lnTo>
                                  <a:pt x="87" y="0"/>
                                </a:lnTo>
                                <a:close/>
                              </a:path>
                            </a:pathLst>
                          </a:custGeom>
                          <a:solidFill>
                            <a:srgbClr val="ff0000"/>
                          </a:solidFill>
                          <a:ln w="6840">
                            <a:solidFill>
                              <a:srgbClr val="ffffff"/>
                            </a:solidFill>
                            <a:round/>
                          </a:ln>
                        </wps:spPr>
                        <wps:style>
                          <a:lnRef idx="0"/>
                          <a:fillRef idx="0"/>
                          <a:effectRef idx="0"/>
                          <a:fontRef idx="minor"/>
                        </wps:style>
                        <wps:bodyPr/>
                      </wps:wsp>
                    </wpg:wgp>
                  </a:graphicData>
                </a:graphic>
              </wp:anchor>
            </w:drawing>
          </mc:Choice>
          <mc:Fallback>
            <w:pict>
              <v:group id="shape_0" style="position:absolute;margin-left:39.6pt;margin-top:15.7pt;width:374.35pt;height:505.85pt" coordorigin="792,314" coordsize="7487,10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792;top:314;width:7486;height:10116;mso-wrap-style:none;v-text-anchor:middle" type="_x0000_t75">
                  <v:imagedata r:id="rId3" o:detectmouseclick="t"/>
                  <v:stroke color="#3465a4" joinstyle="round" endcap="flat"/>
                  <w10:wrap type="none"/>
                </v:shape>
                <v:rect id="shape_0" stroked="f" o:allowincell="f" style="position:absolute;left:3959;top:4801;width:510;height:312;mso-wrap-style:none;v-text-anchor:middle">
                  <v:fill o:detectmouseclick="t" on="false"/>
                  <v:stroke color="#3465a4" joinstyle="round" endcap="flat"/>
                  <w10:wrap type="none"/>
                </v:rect>
                <v:rect id="shape_0" stroked="f" o:allowincell="f" style="position:absolute;left:4298;top:4815;width:714;height:240;mso-wrap-style:none;v-text-anchor:middle">
                  <v:fill o:detectmouseclick="t" on="false"/>
                  <v:stroke color="#3465a4" joinstyle="round" endcap="flat"/>
                  <w10:wrap type="none"/>
                </v:rect>
                <v:rect id="shape_0" stroked="f" o:allowincell="f" style="position:absolute;left:4614;top:5026;width:402;height:253;mso-wrap-style:none;v-text-anchor:middle">
                  <v:fill o:detectmouseclick="t" on="false"/>
                  <v:stroke color="#3465a4" joinstyle="round" endcap="flat"/>
                  <w10:wrap type="none"/>
                </v:rect>
                <v:rect id="shape_0" stroked="f" o:allowincell="f" style="position:absolute;left:5580;top:5026;width:209;height:253;mso-wrap-style:none;v-text-anchor:middle">
                  <v:fill o:detectmouseclick="t" on="false"/>
                  <v:stroke color="#3465a4" joinstyle="round" endcap="flat"/>
                  <w10:wrap type="none"/>
                </v:rect>
                <v:rect id="shape_0" stroked="f" o:allowincell="f" style="position:absolute;left:5033;top:4801;width:271;height:312;mso-wrap-style:none;v-text-anchor:middle">
                  <v:fill o:detectmouseclick="t" on="false"/>
                  <v:stroke color="#3465a4" joinstyle="round" endcap="flat"/>
                  <w10:wrap type="none"/>
                </v:rect>
                <v:rect id="shape_0" stroked="f" o:allowincell="f" style="position:absolute;left:5033;top:4815;width:201;height:292;mso-wrap-style:none;v-text-anchor:middle">
                  <v:fill o:detectmouseclick="t" on="false"/>
                  <v:stroke color="#3465a4" joinstyle="round" endcap="flat"/>
                  <w10:wrap type="none"/>
                </v:rect>
                <v:shape id="shape_0" coordsize="2025,423" path="m298,0l298,168l298,238l298,285l583,285l0,423l1016,285l2025,285l2025,238l2025,168l2025,0l1016,0l583,0l298,0xe" fillcolor="#3366ff" stroked="f" o:allowincell="f" style="position:absolute;left:3442;top:5353;width:1818;height:582;mso-wrap-style:none;v-text-anchor:middle">
                  <v:fill o:detectmouseclick="t" type="solid" color2="#cc9900"/>
                  <v:stroke color="#3465a4" joinstyle="round" endcap="flat"/>
                  <w10:wrap type="none"/>
                </v:shape>
                <v:rect id="shape_0" stroked="f" o:allowincell="f" style="position:absolute;left:3811;top:5501;width:767;height:223;mso-wrap-style:none;v-text-anchor:middle">
                  <v:fill o:detectmouseclick="t" on="false"/>
                  <v:stroke color="#3465a4" joinstyle="round" endcap="flat"/>
                  <w10:wrap type="none"/>
                </v:rect>
                <v:shapetype id="_x0000_t202" coordsize="21600,21600" o:spt="202" path="m,l,21600l21600,21600l21600,xe">
                  <v:stroke joinstyle="miter"/>
                  <v:path gradientshapeok="t" o:connecttype="rect"/>
                </v:shapetype>
                <v:shape id="shape_0" stroked="f" o:allowincell="f" style="position:absolute;left:3825;top:5436;width:1594;height:283;mso-wrap-style:none;v-text-anchor:top" type="_x0000_t202">
                  <v:textbox>
                    <w:txbxContent>
                      <w:p>
                        <w:pPr>
                          <w:overflowPunct w:val="false"/>
                          <w:bidi w:val="0"/>
                          <w:rPr/>
                        </w:pPr>
                        <w:r>
                          <w:rPr>
                            <w:kern w:val="2"/>
                            <w:sz w:val="18"/>
                            <w:szCs w:val="20"/>
                            <w:rFonts w:ascii="Arial" w:hAnsi="Arial" w:eastAsia="Times New Roman" w:cs="Arial"/>
                            <w:color w:val="FFFFFF"/>
                            <w:lang w:val="en-US" w:eastAsia="en-US"/>
                          </w:rPr>
                          <w:t xml:space="preserve">Pastoria Project </w:t>
                        </w:r>
                      </w:p>
                    </w:txbxContent>
                  </v:textbox>
                  <v:fill o:detectmouseclick="t" on="false"/>
                  <v:stroke color="#3465a4" joinstyle="round" endcap="flat"/>
                  <w10:wrap type="none"/>
                </v:shape>
                <v:rect id="shape_0" stroked="f" o:allowincell="f" style="position:absolute;left:4241;top:5280;width:923;height:310;mso-wrap-style:none;v-text-anchor:middle">
                  <v:fill o:detectmouseclick="t" on="false"/>
                  <v:stroke color="#3465a4" joinstyle="round" endcap="flat"/>
                  <w10:wrap type="none"/>
                </v:rect>
                <v:shape id="shape_0" coordsize="173,113" path="m87,0l65,45l0,45l54,68l33,113l87,85l135,113l116,68l173,45l105,45l87,0xe" fillcolor="red" stroked="t" o:allowincell="f" style="position:absolute;left:3347;top:5813;width:183;height:189;mso-wrap-style:none;v-text-anchor:middle">
                  <v:fill o:detectmouseclick="t" type="solid" color2="aqua"/>
                  <v:stroke color="white" weight="6840" joinstyle="round" endcap="flat"/>
                  <w10:wrap type="none"/>
                </v:shape>
              </v:group>
            </w:pict>
          </mc:Fallback>
        </mc:AlternateContent>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TableImpColHd"/>
        <w:keepNext w:val="false"/>
        <w:keepLines w:val="false"/>
        <w:spacing w:before="0" w:after="0"/>
        <w:rPr>
          <w:rFonts w:ascii="Arial" w:hAnsi="Arial" w:cs="Arial"/>
          <w:kern w:val="0"/>
        </w:rPr>
      </w:pPr>
      <w:r>
        <w:rPr>
          <w:rFonts w:cs="Arial"/>
          <w:kern w:val="0"/>
        </w:rPr>
      </w:r>
    </w:p>
    <w:p>
      <w:pPr>
        <w:pStyle w:val="TableImpColHd"/>
        <w:keepNext w:val="false"/>
        <w:keepLines w:val="false"/>
        <w:spacing w:before="0" w:after="0"/>
        <w:rPr>
          <w:kern w:val="0"/>
        </w:rPr>
      </w:pPr>
      <w:r>
        <w:rPr>
          <w:kern w:val="0"/>
        </w:rPr>
      </w:r>
    </w:p>
    <w:p>
      <w:pPr>
        <w:pStyle w:val="Normal"/>
        <w:rPr>
          <w:rFonts w:ascii="Arial" w:hAnsi="Arial" w:cs="Arial"/>
          <w:b/>
          <w:sz w:val="32"/>
        </w:rPr>
      </w:pPr>
      <w:r>
        <w:rPr>
          <w:rFonts w:cs="Arial" w:ascii="Arial" w:hAnsi="Arial"/>
          <w:b/>
          <w:sz w:val="32"/>
        </w:rPr>
        <w:t>3-C-III. Description – Pastoria Energy Facility</w:t>
      </w:r>
    </w:p>
    <w:p>
      <w:pPr>
        <w:pStyle w:val="DLJCoverPage2"/>
        <w:rPr>
          <w:rFonts w:ascii="Arial" w:hAnsi="Arial" w:cs="Arial"/>
          <w:b w:val="false"/>
          <w:sz w:val="32"/>
        </w:rPr>
      </w:pPr>
      <w:r>
        <w:rPr>
          <w:rFonts w:cs="Arial" w:ascii="Arial" w:hAnsi="Arial"/>
          <w:b w:val="false"/>
          <w:sz w:val="32"/>
        </w:rPr>
      </w:r>
    </w:p>
    <w:p>
      <w:pPr>
        <w:pStyle w:val="DLJCoverPage2"/>
        <w:rPr>
          <w:rFonts w:ascii="Arial" w:hAnsi="Arial" w:cs="Arial"/>
        </w:rPr>
      </w:pPr>
      <w:r>
        <w:rPr>
          <w:rFonts w:cs="Arial" w:ascii="Arial" w:hAnsi="Arial"/>
        </w:rPr>
        <w:t>Overview</w:t>
      </w:r>
    </w:p>
    <w:p>
      <w:pPr>
        <w:pStyle w:val="Normal"/>
        <w:rPr>
          <w:rFonts w:ascii="Arial" w:hAnsi="Arial" w:cs="Arial"/>
          <w:b/>
        </w:rPr>
      </w:pPr>
      <w:r>
        <w:rPr>
          <w:rFonts w:cs="Arial" w:ascii="Arial" w:hAnsi="Arial"/>
          <w:b/>
        </w:rPr>
      </w:r>
    </w:p>
    <w:p>
      <w:pPr>
        <w:pStyle w:val="Normal"/>
        <w:rPr/>
      </w:pPr>
      <w:r>
        <w:rPr>
          <w:rFonts w:cs="Arial" w:ascii="Arial" w:hAnsi="Arial"/>
          <w:b/>
        </w:rPr>
        <w:t>General.</w:t>
      </w:r>
      <w:r>
        <w:rPr>
          <w:rFonts w:cs="Arial" w:ascii="Arial" w:hAnsi="Arial"/>
        </w:rPr>
        <w:t xml:space="preserve">  The project will be a 750 MW (nominal), natural gas-fired, merchant electrical generating facility.  Electricity will be delivered to the existing electrical grid via a 1.38 mile, 230 kilovolt (kV) double circuit interconnection to SCE’s Pastoria Substation. </w:t>
      </w:r>
    </w:p>
    <w:p>
      <w:pPr>
        <w:pStyle w:val="Normal"/>
        <w:rPr>
          <w:rFonts w:ascii="Arial" w:hAnsi="Arial" w:cs="Arial"/>
        </w:rPr>
      </w:pPr>
      <w:r>
        <w:rPr>
          <w:rFonts w:cs="Arial" w:ascii="Arial" w:hAnsi="Arial"/>
        </w:rPr>
      </w:r>
    </w:p>
    <w:p>
      <w:pPr>
        <w:pStyle w:val="Normal"/>
        <w:rPr/>
      </w:pPr>
      <w:r>
        <w:rPr>
          <w:rFonts w:cs="Arial" w:ascii="Arial" w:hAnsi="Arial"/>
          <w:b/>
        </w:rPr>
        <w:t>Ownership.</w:t>
      </w:r>
      <w:r>
        <w:rPr>
          <w:rFonts w:cs="Arial" w:ascii="Arial" w:hAnsi="Arial"/>
        </w:rPr>
        <w:t xml:space="preserve">  Enron North America's interest in the project is held by Pastoria Energy Facility L.L.C. (“PEF”), a limited liability company organized in Delaware for purposes of development of the project.  PEF is a wholly-owned subsidiary of Enron North America, and Enron North America is currently the sole and managing member of PEF.</w:t>
      </w:r>
    </w:p>
    <w:p>
      <w:pPr>
        <w:pStyle w:val="Normal"/>
        <w:rPr>
          <w:rFonts w:ascii="Arial" w:hAnsi="Arial" w:cs="Arial"/>
        </w:rPr>
      </w:pPr>
      <w:r>
        <w:rPr>
          <w:rFonts w:cs="Arial" w:ascii="Arial" w:hAnsi="Arial"/>
        </w:rPr>
      </w:r>
    </w:p>
    <w:p>
      <w:pPr>
        <w:pStyle w:val="Normal"/>
        <w:rPr/>
      </w:pPr>
      <w:r>
        <w:rPr>
          <w:rFonts w:cs="Arial" w:ascii="Arial" w:hAnsi="Arial"/>
          <w:b/>
        </w:rPr>
        <w:t>Project Site</w:t>
      </w:r>
      <w:r>
        <w:rPr>
          <w:rFonts w:cs="Arial" w:ascii="Arial" w:hAnsi="Arial"/>
        </w:rPr>
        <w:t>. The project will be located on an approximately 30-acre parcel of land that is owned by Tejon Ranchcorp (“Tejon”) and secured under option to lease by Pastoria Energy Facility (the “Site”). The Site is approximately 30 miles south of Bakersfield, California and about 6.5 miles east of The Grapevine, California.  Access will be provided via a new plant access road which will be constructed, as part of the project, from Edmonston Pumping Plant Road, which can be accessed from Interstate 5. The location and the configuration of the project have been selected to best match operating needs for the transmission grid and the competitive power market. The site takes advantage of nearby access to natural gas fuel supply, water for cooling, and a transmission tie in.</w:t>
      </w:r>
    </w:p>
    <w:p>
      <w:pPr>
        <w:pStyle w:val="Normal"/>
        <w:rPr>
          <w:rFonts w:ascii="Arial" w:hAnsi="Arial" w:cs="Arial"/>
          <w:b/>
        </w:rPr>
      </w:pPr>
      <w:r>
        <w:rPr>
          <w:rFonts w:cs="Arial" w:ascii="Arial" w:hAnsi="Arial"/>
          <w:b/>
        </w:rPr>
      </w:r>
    </w:p>
    <w:p>
      <w:pPr>
        <w:pStyle w:val="Normal"/>
        <w:rPr/>
      </w:pPr>
      <w:r>
        <w:rPr>
          <w:rFonts w:cs="Arial" w:ascii="Arial" w:hAnsi="Arial"/>
          <w:b/>
        </w:rPr>
        <w:t>Plant Equipment &amp; Layout.</w:t>
      </w:r>
      <w:r>
        <w:rPr>
          <w:rFonts w:cs="Arial" w:ascii="Arial" w:hAnsi="Arial"/>
        </w:rPr>
        <w:t xml:space="preserve">  The facility will employ proven gas turbine technology that is currently in use in California and in other locations around the country.  The Project will incorporate two Power Islands (“the Power Island”) consisting of three, natural gas-fired, GE 7FA CTGs operating in combined cycle.  Each CTG will have its exhaust heat extracted by a heat recovery steam generator (“HRSG”). Two CTGs will be installed in a “two-on-one” configuration with one GE D11 steam turbine generator (“STG”) and one CTG will be installed in “one-on-one”, non-common shaft configuration with one GE A11 STG. The project secured the rights to the Power Islands, under a contract dated May 1, 2000. The project will produce 750 MW based on 75</w:t>
      </w:r>
      <w:r>
        <w:rPr>
          <w:rFonts w:cs="Arial" w:ascii="Arial" w:hAnsi="Arial"/>
          <w:vertAlign w:val="superscript"/>
        </w:rPr>
        <w:t>o</w:t>
      </w:r>
      <w:r>
        <w:rPr>
          <w:rFonts w:cs="Arial" w:ascii="Arial" w:hAnsi="Arial"/>
        </w:rPr>
        <w:t xml:space="preserve">F ambient temperature and 39 percent relative humidity. Each CTG will produce approximately 168 MW, the STGs will produce approximately 185 MW and 90 MW, respectively, and plant auxiliary equipment will consume approximately 15 MW. The net heat rate is expected to be approximately 7,000 Btu/kWh, based on the higher heating value (“HHV”) of natural gas.  The project is expected to have an overall availability of 94 percent and could operate up to 8,760 hours per year.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plant will use Best Available Control Technology (“BACT”) to minimize gas turbine emissions. To achieve BACT, Catalytica’s XONON™ emission control technology, if commercially and technically available from GE, will be installed. This innovative technology is being developed and commercialized by Catalytica, Enron North America, and GE and is supported by the U.S. Department of Transportation, the CEC, and the California Air Resources Board. </w:t>
      </w:r>
      <w:r>
        <w:rPr>
          <w:rFonts w:cs="Arial" w:ascii="Arial" w:hAnsi="Arial"/>
          <w:color w:val="000000"/>
        </w:rPr>
        <w:t>Completion of testing of the XONON</w:t>
      </w:r>
      <w:r>
        <w:rPr>
          <w:rFonts w:cs="Arial" w:ascii="Arial" w:hAnsi="Arial"/>
        </w:rPr>
        <w:t>™</w:t>
      </w:r>
      <w:r>
        <w:rPr>
          <w:rFonts w:cs="Arial" w:ascii="Arial" w:hAnsi="Arial"/>
          <w:color w:val="000000"/>
        </w:rPr>
        <w:t xml:space="preserve"> system for GE 7FA turbines is scheduled to occur during the first quarter of 2003.</w:t>
      </w:r>
    </w:p>
    <w:p>
      <w:pPr>
        <w:pStyle w:val="Normal"/>
        <w:rPr>
          <w:rFonts w:ascii="Arial" w:hAnsi="Arial" w:cs="Arial"/>
        </w:rPr>
      </w:pPr>
      <w:r>
        <w:rPr>
          <w:rFonts w:cs="Arial" w:ascii="Arial" w:hAnsi="Arial"/>
        </w:rPr>
      </w:r>
    </w:p>
    <w:p>
      <w:pPr>
        <w:pStyle w:val="Normal"/>
        <w:rPr/>
      </w:pPr>
      <w:r>
        <w:rPr>
          <w:rFonts w:cs="Arial" w:ascii="Arial" w:hAnsi="Arial"/>
        </w:rPr>
        <w:t>Recognizing the possible risks associated with technology development, Enron North America proposes an alternate emissions control system, which will be used if XONON™ technology for GE F-Class turbines is not ready when needed to meet the project schedule. The alternate emissions control system would use state-of-the-art DLN combustors in combination with post-combustion emission controls located in the HRSGs. These downstream controls include SCRs to control NO</w:t>
      </w:r>
      <w:r>
        <w:rPr>
          <w:rFonts w:cs="Arial" w:ascii="Arial" w:hAnsi="Arial"/>
          <w:vertAlign w:val="subscript"/>
        </w:rPr>
        <w:t>x</w:t>
      </w:r>
      <w:r>
        <w:rPr>
          <w:rFonts w:cs="Arial" w:ascii="Arial" w:hAnsi="Arial"/>
        </w:rPr>
        <w:t xml:space="preserve"> and an oxidation catalyst to control CO. The height of the exhaust stack on each HRSG will be 213 feet, or less, as required to satisfy air quality requirements while minimizing visual impact.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plant will use a multi-cell mechanical draft, wet cooling tower to provide heat rejection. The cooling tower is expected to be a standard, induced draft, counter-flow type with fiberglass structure and film fill. The tower will incorporate plume abatement coils and high efficiency drift eliminators. The estimated average annual cooling water tower makeup rate is 2,925 gallons per minute (gpm).</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Interconnections</w:t>
      </w:r>
    </w:p>
    <w:p>
      <w:pPr>
        <w:pStyle w:val="Normal"/>
        <w:rPr>
          <w:rFonts w:ascii="Arial" w:hAnsi="Arial" w:cs="Arial"/>
          <w:b/>
        </w:rPr>
      </w:pPr>
      <w:r>
        <w:rPr>
          <w:rFonts w:cs="Arial" w:ascii="Arial" w:hAnsi="Arial"/>
          <w:b/>
        </w:rPr>
      </w:r>
    </w:p>
    <w:p>
      <w:pPr>
        <w:pStyle w:val="Normal"/>
        <w:rPr/>
      </w:pPr>
      <w:r>
        <w:rPr>
          <w:rFonts w:cs="Arial" w:ascii="Arial" w:hAnsi="Arial"/>
          <w:b/>
        </w:rPr>
        <w:t>SCE Interconnection.</w:t>
      </w:r>
      <w:r>
        <w:rPr>
          <w:rFonts w:cs="Arial" w:ascii="Arial" w:hAnsi="Arial"/>
        </w:rPr>
        <w:t xml:space="preserve">  The project will include a 1.38-mile, double circuit, 230 kV transmission line interconnection to the existing SCE Pastoria Substation. The majority of the proposed line will parallel an existing transmission corridor. By interconnecting at the SCE Pastoria Substation, the project will be in the more favorable SP-15 pricing zone, versus the less favorable NP-15 pricing zone which must deal with the congestion of or affecting Path 15 or Path 26.</w:t>
      </w:r>
    </w:p>
    <w:p>
      <w:pPr>
        <w:pStyle w:val="Normal"/>
        <w:rPr>
          <w:rFonts w:ascii="Arial" w:hAnsi="Arial" w:cs="Arial"/>
          <w:b/>
        </w:rPr>
      </w:pPr>
      <w:r>
        <w:rPr>
          <w:rFonts w:cs="Arial" w:ascii="Arial" w:hAnsi="Arial"/>
          <w:b/>
        </w:rPr>
      </w:r>
    </w:p>
    <w:p>
      <w:pPr>
        <w:pStyle w:val="Normal"/>
        <w:rPr/>
      </w:pPr>
      <w:r>
        <w:rPr>
          <w:rFonts w:cs="Arial" w:ascii="Arial" w:hAnsi="Arial"/>
          <w:b/>
        </w:rPr>
        <w:t>Gas Transportation.</w:t>
      </w:r>
      <w:r>
        <w:rPr>
          <w:rFonts w:cs="Arial" w:ascii="Arial" w:hAnsi="Arial"/>
        </w:rPr>
        <w:t xml:space="preserve">  The project plans to use natural gas supplied via an 11.65-mile, 14-inch to 16-inch diameter pipeline interconnected to the existing 42-inch diameter Kern/Mojave pipeline. By interconnecting with the Kern/Mojave pipeline, the project will avoid intrastate pipeline transportation charges saving the project approximately $0.30 MMBtu or $2.10 MWh in generating costs over competing projects in SP-15. The existing line is pressurized at 700-900 psig. Pastoria Energy Facility will utilize up to an estimated 120 million standard cubic feet per day of pipeline quality natural gas. Pastoria Energy Facility has initiated discussion with Kern/Mojave on pipeline interconnection.  An agreement is expected to be executed prior to December 2000.</w:t>
      </w:r>
    </w:p>
    <w:p>
      <w:pPr>
        <w:pStyle w:val="Normal"/>
        <w:rPr>
          <w:rFonts w:ascii="Arial" w:hAnsi="Arial" w:cs="Arial"/>
          <w:b/>
        </w:rPr>
      </w:pPr>
      <w:r>
        <w:rPr>
          <w:rFonts w:cs="Arial" w:ascii="Arial" w:hAnsi="Arial"/>
          <w:b/>
        </w:rPr>
      </w:r>
    </w:p>
    <w:p>
      <w:pPr>
        <w:pStyle w:val="Normal"/>
        <w:rPr/>
      </w:pPr>
      <w:r>
        <w:rPr>
          <w:rFonts w:cs="Arial" w:ascii="Arial" w:hAnsi="Arial"/>
          <w:b/>
        </w:rPr>
        <w:t xml:space="preserve">Water Supply.  </w:t>
      </w:r>
      <w:r>
        <w:rPr>
          <w:rFonts w:cs="Arial" w:ascii="Arial" w:hAnsi="Arial"/>
        </w:rPr>
        <w:t>The</w:t>
      </w:r>
      <w:r>
        <w:rPr>
          <w:rFonts w:cs="Arial" w:ascii="Arial" w:hAnsi="Arial"/>
          <w:b/>
        </w:rPr>
        <w:t xml:space="preserve"> </w:t>
      </w:r>
      <w:r>
        <w:rPr>
          <w:rFonts w:cs="Arial" w:ascii="Arial" w:hAnsi="Arial"/>
        </w:rPr>
        <w:t xml:space="preserve">Pastoria Energy Facility will use approximately 3,900 acre-feet of water per year.  It will obtain its primary water supply from the Wheeler Ridge Maricopa Water Storage District (“Water District”), the source of which is approximately one mile away. The Water District is a public agency that serves an area in the southern portion of Kern County, managing the delivery and distribution of water from the California Aqueduct and underground storage facilities to local users. Under the contract with the Pastoria Energy Facility, Water District will provide District Pool water and conveyance through its distribution facilities.  District Pool water is water to which Water District entitled from the California Aqueduct in excess of its members’ needs.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project will receive its back-up water supply from Azurix Corp (“Azurix”), an affiliate of Enron Corp. In addition, Azurix will manage PEF’s supply arrangements with the Water District.  Pastoria Energy Facility’s Water Supply and Management Contract with Azurix provides Pastoria Energy Facility with a guaranteed backup supply of water when Water District does not have water available for Pastoria Energy Facility.  PEF must exercise an option in 2001 to acquire rights to 40,000 acre-feet of of backup supply water and obligate Azurix to supply the backup water.  The Azurix contract provides a fixed price for all of PEF’s purchases from both Water District and Azurix.  PEF will pay Azurix $500,000 per year and $500 per acre-foot of water used.  Each amount will escalate with inflation. Azurix will also manage the logistical aspects of scheduling both the Water District supply and the backup supply.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Azurix agreement has been executed, and the Water District agreement has been negotiated and will be executed once validation proceedings for the Water District agreement become final. The Water District filed a validation proceeding in a California state court to validate the arrangements under which the Water District will contract to provide PEF’s primary water supply.  A default judgment is expected to be entered by the court by August 31, 2000.  PEF expects to finalize its primary supply contract with the Water District once the 30-day period for apeal of the judgment has expired and the judgment is final.</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r>
    </w:p>
    <w:p>
      <w:pPr>
        <w:pStyle w:val="Normal"/>
        <w:rPr/>
      </w:pPr>
      <w:r>
        <w:rPr>
          <w:rFonts w:cs="Arial" w:ascii="Arial" w:hAnsi="Arial"/>
          <w:b/>
        </w:rPr>
        <w:t>Wastewater.</w:t>
      </w:r>
      <w:r>
        <w:rPr>
          <w:rFonts w:cs="Arial" w:ascii="Arial" w:hAnsi="Arial"/>
        </w:rPr>
        <w:t xml:space="preserve">  Pastoria Energy Facility will generate an average wastewater stream of 760 gpm which will consist of cooling tower wastewater treatment and HRSG blowdown. Pastoria Energy Facility will utilize a zero discharge (“ZD”) system to treat wastewater streams with the exception of sanitary and storm water streams. The sanitary stream would continue to be discharged to the sanitary leach field. The stormwater stream would continue to be discharged to the onsite detention basins and then to Pastoria Creek.</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ZD system will enable a portion of the wastewater stream to be recycled to the plant’s cooling water system. This will reduce the plant’s water consumption by approximately five to ten percent.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pPr>
      <w:r>
        <w:rPr>
          <w:rFonts w:cs="Arial" w:ascii="Arial" w:hAnsi="Arial"/>
          <w:b/>
          <w:sz w:val="28"/>
        </w:rPr>
        <w:t>Wholesale Revenue Opportunities</w:t>
      </w:r>
      <w:r>
        <w:rPr>
          <w:rFonts w:cs="Arial" w:ascii="Arial" w:hAnsi="Arial"/>
          <w:sz w:val="28"/>
        </w:rPr>
        <w:t xml:space="preserve">  </w:t>
      </w:r>
    </w:p>
    <w:p>
      <w:pPr>
        <w:pStyle w:val="Normal"/>
        <w:rPr>
          <w:rFonts w:ascii="Arial" w:hAnsi="Arial" w:cs="Arial"/>
          <w:sz w:val="28"/>
        </w:rPr>
      </w:pPr>
      <w:r>
        <w:rPr>
          <w:rFonts w:cs="Arial" w:ascii="Arial" w:hAnsi="Arial"/>
          <w:sz w:val="28"/>
        </w:rPr>
      </w:r>
    </w:p>
    <w:p>
      <w:pPr>
        <w:pStyle w:val="Normal"/>
        <w:rPr>
          <w:rFonts w:ascii="Arial" w:hAnsi="Arial" w:cs="Arial"/>
        </w:rPr>
      </w:pPr>
      <w:r>
        <w:rPr>
          <w:rFonts w:cs="Arial" w:ascii="Arial" w:hAnsi="Arial"/>
        </w:rPr>
        <w:t>Once interconnected with the electrical grid, bilateral wholesale revenue opportunities will be available from numerous market participants, including power marketers, public power agencies, municipal power utilities and energy service providers.  Further, the project’s location in the SP-15 pricing zone provides power sale revenues’ from sales into the PX and ISO energy markets. Lastly, the 800 MW Edmonston Pumping Station is a large power consumer and potential customer located less than two miles from Pastoria Energy Facility. The only direct access to the Edmonston Pumping Station is over Tejon’s property.</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Project Permits</w:t>
      </w:r>
    </w:p>
    <w:p>
      <w:pPr>
        <w:pStyle w:val="Normal"/>
        <w:rPr>
          <w:rFonts w:ascii="Arial" w:hAnsi="Arial" w:cs="Arial"/>
          <w:b/>
        </w:rPr>
      </w:pPr>
      <w:r>
        <w:rPr>
          <w:rFonts w:cs="Arial" w:ascii="Arial" w:hAnsi="Arial"/>
          <w:b/>
        </w:rPr>
      </w:r>
    </w:p>
    <w:p>
      <w:pPr>
        <w:pStyle w:val="Normal"/>
        <w:rPr/>
      </w:pPr>
      <w:r>
        <w:rPr>
          <w:rFonts w:cs="Arial" w:ascii="Arial" w:hAnsi="Arial"/>
          <w:b/>
        </w:rPr>
        <w:t xml:space="preserve">The CEC Licensing Process.  </w:t>
      </w:r>
      <w:r>
        <w:rPr>
          <w:rFonts w:cs="Arial" w:ascii="Arial" w:hAnsi="Arial"/>
        </w:rPr>
        <w:t>In California, the CEC has the exclusive authority to site and license thermal electric power plants with a capacity of 50 MW or larger.  Pursuant to Title 20 of the California Code of Regulations and the Warren-Alquist Energy Resources Conservation and Development Act, the CEC’s Energy Facilities Siting and Environmental Protection Division (the “Division”) is tasked “ . . . to ensure that a reliable supply of electrical energy is maintained at a level consistent with the need for such energy for protection of public health and safety, for promotion of the general welfare, and for environmental protection.”  The Division prepares all environmental documentation for the CEC as required by the California Environmental Quality Act (“CEQA”).</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CEC issues a single permit for construction and operation, which covers most applicable approvals. PEF filed an AFC with the CEC to construct and operate the Pastoria Energy Facility—California Energy Commission Docket Energy Docket Number: 99-AFC-7 on November 30, 1999.  The AFC was declared by the CEC to be “data adequate” on January 26, 2000—a significant milestone in that the CEC can then officially begin review of the application with a final decision required within 365 days.  The current CEC permitting schedule is set forth below:</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Current CEC Permitting Schedule</w:t>
      </w:r>
    </w:p>
    <w:p>
      <w:pPr>
        <w:pStyle w:val="EventArrow"/>
        <w:spacing w:before="0" w:after="0"/>
        <w:rPr>
          <w:rFonts w:ascii="Arial" w:hAnsi="Arial" w:cs="Arial"/>
          <w:b w:val="false"/>
          <w:kern w:val="0"/>
          <w:sz w:val="10"/>
        </w:rPr>
      </w:pPr>
      <w:r>
        <w:rPr>
          <w:rFonts w:cs="Arial" w:ascii="Arial" w:hAnsi="Arial"/>
          <w:b w:val="false"/>
          <w:kern w:val="0"/>
          <w:sz w:val="10"/>
        </w:rPr>
      </w:r>
    </w:p>
    <w:tbl>
      <w:tblPr>
        <w:tblW w:w="7200" w:type="dxa"/>
        <w:jc w:val="start"/>
        <w:tblInd w:w="0" w:type="dxa"/>
        <w:tblLayout w:type="fixed"/>
        <w:tblCellMar>
          <w:top w:w="0" w:type="dxa"/>
          <w:start w:w="108" w:type="dxa"/>
          <w:bottom w:w="0" w:type="dxa"/>
          <w:end w:w="108" w:type="dxa"/>
        </w:tblCellMar>
      </w:tblPr>
      <w:tblGrid>
        <w:gridCol w:w="2160"/>
        <w:gridCol w:w="5040"/>
      </w:tblGrid>
      <w:tr>
        <w:trPr/>
        <w:tc>
          <w:tcPr>
            <w:tcW w:w="2160" w:type="dxa"/>
            <w:tcBorders>
              <w:top w:val="single" w:sz="18" w:space="0" w:color="000000"/>
              <w:bottom w:val="single" w:sz="2" w:space="0" w:color="000000"/>
            </w:tcBorders>
          </w:tcPr>
          <w:p>
            <w:pPr>
              <w:pStyle w:val="Normal"/>
              <w:spacing w:before="120" w:after="0"/>
              <w:jc w:val="center"/>
              <w:rPr>
                <w:rFonts w:ascii="Arial" w:hAnsi="Arial" w:cs="Arial"/>
                <w:b/>
              </w:rPr>
            </w:pPr>
            <w:r>
              <w:rPr>
                <w:rFonts w:cs="Arial" w:ascii="Arial" w:hAnsi="Arial"/>
                <w:b/>
              </w:rPr>
              <w:t>Date</w:t>
            </w:r>
          </w:p>
        </w:tc>
        <w:tc>
          <w:tcPr>
            <w:tcW w:w="5040" w:type="dxa"/>
            <w:tcBorders>
              <w:top w:val="single" w:sz="18" w:space="0" w:color="000000"/>
              <w:bottom w:val="single" w:sz="2" w:space="0" w:color="000000"/>
            </w:tcBorders>
          </w:tcPr>
          <w:p>
            <w:pPr>
              <w:pStyle w:val="Normal"/>
              <w:spacing w:before="120" w:after="0"/>
              <w:jc w:val="center"/>
              <w:rPr>
                <w:rFonts w:ascii="Arial" w:hAnsi="Arial" w:cs="Arial"/>
                <w:b/>
              </w:rPr>
            </w:pPr>
            <w:r>
              <w:rPr>
                <w:rFonts w:cs="Arial" w:ascii="Arial" w:hAnsi="Arial"/>
                <w:b/>
              </w:rPr>
              <w:t>Milestone</w:t>
            </w:r>
          </w:p>
        </w:tc>
      </w:tr>
      <w:tr>
        <w:trPr/>
        <w:tc>
          <w:tcPr>
            <w:tcW w:w="2160" w:type="dxa"/>
            <w:tcBorders/>
          </w:tcPr>
          <w:p>
            <w:pPr>
              <w:pStyle w:val="FCSSubLogoText"/>
              <w:keepNext w:val="false"/>
              <w:keepLines w:val="false"/>
              <w:spacing w:before="60" w:after="0"/>
              <w:jc w:val="start"/>
              <w:rPr>
                <w:rFonts w:ascii="Arial" w:hAnsi="Arial" w:cs="Arial"/>
                <w:kern w:val="0"/>
              </w:rPr>
            </w:pPr>
            <w:r>
              <w:rPr>
                <w:rFonts w:cs="Arial" w:ascii="Arial" w:hAnsi="Arial"/>
                <w:kern w:val="0"/>
              </w:rPr>
              <w:t>11/30/99</w:t>
            </w:r>
          </w:p>
        </w:tc>
        <w:tc>
          <w:tcPr>
            <w:tcW w:w="5040" w:type="dxa"/>
            <w:tcBorders/>
          </w:tcPr>
          <w:p>
            <w:pPr>
              <w:pStyle w:val="Normal"/>
              <w:spacing w:before="60" w:after="0"/>
              <w:rPr>
                <w:rFonts w:ascii="Arial" w:hAnsi="Arial" w:cs="Arial"/>
              </w:rPr>
            </w:pPr>
            <w:r>
              <w:rPr>
                <w:rFonts w:cs="Arial" w:ascii="Arial" w:hAnsi="Arial"/>
              </w:rPr>
              <w:t>AFC Filed with CEC</w:t>
            </w:r>
          </w:p>
        </w:tc>
      </w:tr>
      <w:tr>
        <w:trPr/>
        <w:tc>
          <w:tcPr>
            <w:tcW w:w="2160" w:type="dxa"/>
            <w:tcBorders/>
          </w:tcPr>
          <w:p>
            <w:pPr>
              <w:pStyle w:val="Normal"/>
              <w:spacing w:before="60" w:after="0"/>
              <w:rPr>
                <w:rFonts w:ascii="Arial" w:hAnsi="Arial" w:cs="Arial"/>
              </w:rPr>
            </w:pPr>
            <w:r>
              <w:rPr>
                <w:rFonts w:cs="Arial" w:ascii="Arial" w:hAnsi="Arial"/>
              </w:rPr>
              <w:t>1/26/00</w:t>
            </w:r>
          </w:p>
        </w:tc>
        <w:tc>
          <w:tcPr>
            <w:tcW w:w="5040" w:type="dxa"/>
            <w:tcBorders/>
          </w:tcPr>
          <w:p>
            <w:pPr>
              <w:pStyle w:val="CIMContactAddress"/>
              <w:spacing w:lineRule="auto" w:line="240" w:before="60" w:after="0"/>
              <w:rPr>
                <w:rFonts w:ascii="Arial" w:hAnsi="Arial" w:cs="Arial"/>
              </w:rPr>
            </w:pPr>
            <w:r>
              <w:rPr>
                <w:rFonts w:cs="Arial" w:ascii="Arial" w:hAnsi="Arial"/>
              </w:rPr>
              <w:t>CEC Declares AFC Data Adequate</w:t>
            </w:r>
          </w:p>
        </w:tc>
      </w:tr>
      <w:tr>
        <w:trPr/>
        <w:tc>
          <w:tcPr>
            <w:tcW w:w="2160" w:type="dxa"/>
            <w:tcBorders/>
          </w:tcPr>
          <w:p>
            <w:pPr>
              <w:pStyle w:val="Normal"/>
              <w:spacing w:before="60" w:after="0"/>
              <w:rPr>
                <w:rFonts w:ascii="Arial" w:hAnsi="Arial" w:cs="Arial"/>
              </w:rPr>
            </w:pPr>
            <w:r>
              <w:rPr>
                <w:rFonts w:cs="Arial" w:ascii="Arial" w:hAnsi="Arial"/>
              </w:rPr>
              <w:t>3/13/00</w:t>
            </w:r>
          </w:p>
        </w:tc>
        <w:tc>
          <w:tcPr>
            <w:tcW w:w="5040" w:type="dxa"/>
            <w:tcBorders/>
          </w:tcPr>
          <w:p>
            <w:pPr>
              <w:pStyle w:val="Normal"/>
              <w:spacing w:before="60" w:after="0"/>
              <w:rPr>
                <w:rFonts w:ascii="Arial" w:hAnsi="Arial" w:cs="Arial"/>
              </w:rPr>
            </w:pPr>
            <w:r>
              <w:rPr>
                <w:rFonts w:cs="Arial" w:ascii="Arial" w:hAnsi="Arial"/>
              </w:rPr>
              <w:t>Information Hearing and Site Visit</w:t>
            </w:r>
          </w:p>
        </w:tc>
      </w:tr>
      <w:tr>
        <w:trPr/>
        <w:tc>
          <w:tcPr>
            <w:tcW w:w="2160" w:type="dxa"/>
            <w:tcBorders/>
          </w:tcPr>
          <w:p>
            <w:pPr>
              <w:pStyle w:val="Normal"/>
              <w:spacing w:before="60" w:after="0"/>
              <w:rPr>
                <w:rFonts w:ascii="Arial" w:hAnsi="Arial" w:cs="Arial"/>
              </w:rPr>
            </w:pPr>
            <w:r>
              <w:rPr>
                <w:rFonts w:cs="Arial" w:ascii="Arial" w:hAnsi="Arial"/>
              </w:rPr>
              <w:t>7/26/00</w:t>
            </w:r>
          </w:p>
        </w:tc>
        <w:tc>
          <w:tcPr>
            <w:tcW w:w="5040" w:type="dxa"/>
            <w:tcBorders/>
          </w:tcPr>
          <w:p>
            <w:pPr>
              <w:pStyle w:val="Normal"/>
              <w:spacing w:before="60" w:after="0"/>
              <w:rPr>
                <w:rFonts w:ascii="Arial" w:hAnsi="Arial" w:cs="Arial"/>
              </w:rPr>
            </w:pPr>
            <w:r>
              <w:rPr>
                <w:rFonts w:cs="Arial" w:ascii="Arial" w:hAnsi="Arial"/>
              </w:rPr>
              <w:t>Air District issues Final Determination of Compliance</w:t>
            </w:r>
          </w:p>
        </w:tc>
      </w:tr>
      <w:tr>
        <w:trPr/>
        <w:tc>
          <w:tcPr>
            <w:tcW w:w="2160" w:type="dxa"/>
            <w:tcBorders/>
          </w:tcPr>
          <w:p>
            <w:pPr>
              <w:pStyle w:val="Normal"/>
              <w:spacing w:before="60" w:after="0"/>
              <w:rPr>
                <w:rFonts w:ascii="Arial" w:hAnsi="Arial" w:cs="Arial"/>
              </w:rPr>
            </w:pPr>
            <w:r>
              <w:rPr>
                <w:rFonts w:cs="Arial" w:ascii="Arial" w:hAnsi="Arial"/>
              </w:rPr>
              <w:t>8/31/00 (est)</w:t>
            </w:r>
          </w:p>
        </w:tc>
        <w:tc>
          <w:tcPr>
            <w:tcW w:w="5040" w:type="dxa"/>
            <w:tcBorders/>
          </w:tcPr>
          <w:p>
            <w:pPr>
              <w:pStyle w:val="CIMContactAddress"/>
              <w:spacing w:lineRule="auto" w:line="240" w:before="60" w:after="0"/>
              <w:rPr>
                <w:rFonts w:ascii="Arial" w:hAnsi="Arial" w:cs="Arial"/>
              </w:rPr>
            </w:pPr>
            <w:r>
              <w:rPr>
                <w:rFonts w:cs="Arial" w:ascii="Arial" w:hAnsi="Arial"/>
              </w:rPr>
              <w:t>CEC Staff Final Staff Assessment</w:t>
            </w:r>
          </w:p>
        </w:tc>
      </w:tr>
      <w:tr>
        <w:trPr/>
        <w:tc>
          <w:tcPr>
            <w:tcW w:w="2160" w:type="dxa"/>
            <w:tcBorders/>
          </w:tcPr>
          <w:p>
            <w:pPr>
              <w:pStyle w:val="Normal"/>
              <w:spacing w:before="60" w:after="0"/>
              <w:rPr>
                <w:rFonts w:ascii="Arial" w:hAnsi="Arial" w:cs="Arial"/>
              </w:rPr>
            </w:pPr>
            <w:r>
              <w:rPr>
                <w:rFonts w:cs="Arial" w:ascii="Arial" w:hAnsi="Arial"/>
              </w:rPr>
              <w:t>9/18/00-9/19/00</w:t>
            </w:r>
          </w:p>
        </w:tc>
        <w:tc>
          <w:tcPr>
            <w:tcW w:w="5040" w:type="dxa"/>
            <w:tcBorders/>
          </w:tcPr>
          <w:p>
            <w:pPr>
              <w:pStyle w:val="Normal"/>
              <w:spacing w:before="60" w:after="0"/>
              <w:rPr>
                <w:rFonts w:ascii="Arial" w:hAnsi="Arial" w:cs="Arial"/>
              </w:rPr>
            </w:pPr>
            <w:r>
              <w:rPr>
                <w:rFonts w:cs="Arial" w:ascii="Arial" w:hAnsi="Arial"/>
              </w:rPr>
              <w:t>CEC Hearings</w:t>
            </w:r>
          </w:p>
        </w:tc>
      </w:tr>
      <w:tr>
        <w:trPr/>
        <w:tc>
          <w:tcPr>
            <w:tcW w:w="2160" w:type="dxa"/>
            <w:tcBorders/>
          </w:tcPr>
          <w:p>
            <w:pPr>
              <w:pStyle w:val="Normal"/>
              <w:spacing w:before="60" w:after="0"/>
              <w:rPr>
                <w:rFonts w:ascii="Arial" w:hAnsi="Arial" w:cs="Arial"/>
              </w:rPr>
            </w:pPr>
            <w:r>
              <w:rPr>
                <w:rFonts w:cs="Arial" w:ascii="Arial" w:hAnsi="Arial"/>
              </w:rPr>
              <w:t>10/00 (est)</w:t>
            </w:r>
          </w:p>
        </w:tc>
        <w:tc>
          <w:tcPr>
            <w:tcW w:w="5040" w:type="dxa"/>
            <w:tcBorders/>
          </w:tcPr>
          <w:p>
            <w:pPr>
              <w:pStyle w:val="Normal"/>
              <w:spacing w:before="60" w:after="0"/>
              <w:rPr>
                <w:rFonts w:ascii="Arial" w:hAnsi="Arial" w:cs="Arial"/>
              </w:rPr>
            </w:pPr>
            <w:r>
              <w:rPr>
                <w:rFonts w:cs="Arial" w:ascii="Arial" w:hAnsi="Arial"/>
              </w:rPr>
              <w:t>CEC issues Presiding Members Report</w:t>
            </w:r>
          </w:p>
        </w:tc>
      </w:tr>
      <w:tr>
        <w:trPr/>
        <w:tc>
          <w:tcPr>
            <w:tcW w:w="2160" w:type="dxa"/>
            <w:tcBorders/>
          </w:tcPr>
          <w:p>
            <w:pPr>
              <w:pStyle w:val="Normal"/>
              <w:spacing w:before="60" w:after="0"/>
              <w:rPr>
                <w:rFonts w:ascii="Arial" w:hAnsi="Arial" w:cs="Arial"/>
              </w:rPr>
            </w:pPr>
            <w:r>
              <w:rPr>
                <w:rFonts w:cs="Arial" w:ascii="Arial" w:hAnsi="Arial"/>
              </w:rPr>
              <w:t>11/00 (est)</w:t>
            </w:r>
          </w:p>
        </w:tc>
        <w:tc>
          <w:tcPr>
            <w:tcW w:w="5040" w:type="dxa"/>
            <w:tcBorders/>
          </w:tcPr>
          <w:p>
            <w:pPr>
              <w:pStyle w:val="Normal"/>
              <w:spacing w:before="60" w:after="0"/>
              <w:rPr>
                <w:rFonts w:ascii="Arial" w:hAnsi="Arial" w:cs="Arial"/>
              </w:rPr>
            </w:pPr>
            <w:r>
              <w:rPr>
                <w:rFonts w:cs="Arial" w:ascii="Arial" w:hAnsi="Arial"/>
              </w:rPr>
              <w:t>CEC issues final decision</w:t>
            </w:r>
          </w:p>
        </w:tc>
      </w:tr>
      <w:tr>
        <w:trPr/>
        <w:tc>
          <w:tcPr>
            <w:tcW w:w="2160" w:type="dxa"/>
            <w:tcBorders>
              <w:bottom w:val="single" w:sz="2" w:space="0" w:color="000000"/>
            </w:tcBorders>
          </w:tcPr>
          <w:p>
            <w:pPr>
              <w:pStyle w:val="Normal"/>
              <w:spacing w:before="60" w:after="0"/>
              <w:rPr>
                <w:rFonts w:ascii="Arial" w:hAnsi="Arial" w:cs="Arial"/>
              </w:rPr>
            </w:pPr>
            <w:r>
              <w:rPr>
                <w:rFonts w:cs="Arial" w:ascii="Arial" w:hAnsi="Arial"/>
              </w:rPr>
              <w:t>12/31/00 (est)</w:t>
            </w:r>
          </w:p>
        </w:tc>
        <w:tc>
          <w:tcPr>
            <w:tcW w:w="5040" w:type="dxa"/>
            <w:tcBorders>
              <w:bottom w:val="single" w:sz="2" w:space="0" w:color="000000"/>
            </w:tcBorders>
          </w:tcPr>
          <w:p>
            <w:pPr>
              <w:pStyle w:val="Normal"/>
              <w:spacing w:before="60" w:after="0"/>
              <w:rPr>
                <w:rFonts w:ascii="Arial" w:hAnsi="Arial" w:cs="Arial"/>
              </w:rPr>
            </w:pPr>
            <w:r>
              <w:rPr>
                <w:rFonts w:cs="Arial" w:ascii="Arial" w:hAnsi="Arial"/>
              </w:rPr>
              <w:t>Expiration of 30-day rehearing period</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pPr>
      <w:r>
        <w:rPr>
          <w:rFonts w:cs="Arial" w:ascii="Arial" w:hAnsi="Arial"/>
          <w:b/>
        </w:rPr>
        <w:t>Other Permitting Issues.</w:t>
      </w:r>
      <w:r>
        <w:rPr>
          <w:rFonts w:cs="Arial" w:ascii="Arial" w:hAnsi="Arial"/>
        </w:rPr>
        <w:t xml:space="preserve">  While the CEC has overriding authority in California to site and license new power plants, the CEC process requires simultaneous review and full participation by all state and local agencies, as well as coordination with federal agencies.  In addition, the CEC works closely with interested public organizations and individuals to ensure full participation in the licensing process.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Below are brief descriptions of the some of the major permit reviews that are currently underway. </w:t>
      </w:r>
    </w:p>
    <w:p>
      <w:pPr>
        <w:pStyle w:val="Normal"/>
        <w:rPr>
          <w:rFonts w:ascii="Arial" w:hAnsi="Arial" w:cs="Arial"/>
        </w:rPr>
      </w:pPr>
      <w:r>
        <w:rPr>
          <w:rFonts w:cs="Arial" w:ascii="Arial" w:hAnsi="Arial"/>
        </w:rPr>
      </w:r>
    </w:p>
    <w:p>
      <w:pPr>
        <w:pStyle w:val="Normal"/>
        <w:rPr/>
      </w:pPr>
      <w:r>
        <w:rPr>
          <w:rFonts w:cs="Arial" w:ascii="Arial" w:hAnsi="Arial"/>
          <w:b/>
        </w:rPr>
        <w:t>Agricultural Restriction.</w:t>
      </w:r>
      <w:r>
        <w:rPr>
          <w:rFonts w:cs="Arial" w:ascii="Arial" w:hAnsi="Arial"/>
        </w:rPr>
        <w:t xml:space="preserve"> The Site is currently subject to the Williamson Act, a state land use policy that serves to preserve open space and agricultural land and prevent commercial development.  Pastoria Energy Facility is seeking a cancellation of the Williamson Act contract between Tejon and Kern County that currently encumbers the Site.  The Kern County Planning Department is expected to make its recommendation concerning such cancellation, and the Kern County Board of Supervisors is expected to render its decision concerning such cancellation on September 12, 2000.   Currently a 180-day appeal period will apply to the Board of Supervisor’s decision concerning the cancellation; however, through legislation which was introduced to the California Assembly in August, Enron North America is currently seeking to reduce the waiting period.  ENA expects the waiting period will be revised to expire on the same date as the statutory 30-day rehearing period which follows the CEC’s issuance of its final decision.. Other Tejon land in the area has been successfully removed from the Williamson Act; however, none was used as a power plant site. </w:t>
      </w:r>
    </w:p>
    <w:p>
      <w:pPr>
        <w:pStyle w:val="Normal"/>
        <w:rPr>
          <w:rFonts w:ascii="Arial" w:hAnsi="Arial" w:cs="Arial"/>
        </w:rPr>
      </w:pPr>
      <w:r>
        <w:rPr>
          <w:rFonts w:cs="Arial" w:ascii="Arial" w:hAnsi="Arial"/>
        </w:rPr>
      </w:r>
    </w:p>
    <w:p>
      <w:pPr>
        <w:pStyle w:val="Normal"/>
        <w:rPr/>
      </w:pPr>
      <w:r>
        <w:rPr>
          <w:rFonts w:cs="Arial" w:ascii="Arial" w:hAnsi="Arial"/>
          <w:b/>
        </w:rPr>
        <w:t>Air Quality.</w:t>
      </w:r>
      <w:r>
        <w:rPr>
          <w:rFonts w:cs="Arial" w:ascii="Arial" w:hAnsi="Arial"/>
        </w:rPr>
        <w:t xml:space="preserve"> The air quality aspect of the project are subject to lead agency review and approval by the Air District which has principal responsibility for meeting federal and state air quality standards in the region and for permitting new resources of air pollution.  The project will be a major source subject to Air District new source review requirements which require (1) an air quality impact analysis, (2) offset of pollutant emission increases in excess of specified thresholds and (3) application of BACT standards.  </w:t>
      </w:r>
    </w:p>
    <w:p>
      <w:pPr>
        <w:pStyle w:val="Normal"/>
        <w:rPr>
          <w:rFonts w:ascii="Arial" w:hAnsi="Arial" w:cs="Arial"/>
        </w:rPr>
      </w:pPr>
      <w:r>
        <w:rPr>
          <w:rFonts w:cs="Arial" w:ascii="Arial" w:hAnsi="Arial"/>
        </w:rPr>
      </w:r>
    </w:p>
    <w:p>
      <w:pPr>
        <w:pStyle w:val="Normal"/>
        <w:rPr/>
      </w:pPr>
      <w:r>
        <w:rPr>
          <w:rFonts w:cs="Arial" w:ascii="Arial" w:hAnsi="Arial"/>
        </w:rPr>
        <w:t>The project location is in an area designated as a federal and state non-attainment area for ozone (NO</w:t>
      </w:r>
      <w:r>
        <w:rPr>
          <w:rFonts w:cs="Arial" w:ascii="Arial" w:hAnsi="Arial"/>
          <w:vertAlign w:val="subscript"/>
        </w:rPr>
        <w:t>2</w:t>
      </w:r>
      <w:r>
        <w:rPr>
          <w:rFonts w:cs="Arial" w:ascii="Arial" w:hAnsi="Arial"/>
        </w:rPr>
        <w:t xml:space="preserve"> and VOC as precursors) and PM</w:t>
      </w:r>
      <w:r>
        <w:rPr>
          <w:rFonts w:cs="Arial" w:ascii="Arial" w:hAnsi="Arial"/>
          <w:vertAlign w:val="subscript"/>
        </w:rPr>
        <w:t>10</w:t>
      </w:r>
      <w:r>
        <w:rPr>
          <w:rFonts w:cs="Arial" w:ascii="Arial" w:hAnsi="Arial"/>
        </w:rPr>
        <w:t xml:space="preserve"> (NO</w:t>
      </w:r>
      <w:r>
        <w:rPr>
          <w:rFonts w:cs="Arial" w:ascii="Arial" w:hAnsi="Arial"/>
          <w:vertAlign w:val="subscript"/>
        </w:rPr>
        <w:t>2</w:t>
      </w:r>
      <w:r>
        <w:rPr>
          <w:rFonts w:cs="Arial" w:ascii="Arial" w:hAnsi="Arial"/>
        </w:rPr>
        <w:t xml:space="preserve"> and SO</w:t>
      </w:r>
      <w:r>
        <w:rPr>
          <w:rFonts w:cs="Arial" w:ascii="Arial" w:hAnsi="Arial"/>
          <w:vertAlign w:val="subscript"/>
        </w:rPr>
        <w:t>2</w:t>
      </w:r>
      <w:r>
        <w:rPr>
          <w:rFonts w:cs="Arial" w:ascii="Arial" w:hAnsi="Arial"/>
        </w:rPr>
        <w:t xml:space="preserve"> as precursors). The area is attainment for all other criteria pollutants, although most are designated precursors which are essentially treated as non-attainment pollutants under state and local regulations.  While they are precursors under state/local rules, both NO</w:t>
      </w:r>
      <w:r>
        <w:rPr>
          <w:rFonts w:cs="Arial" w:ascii="Arial" w:hAnsi="Arial"/>
          <w:vertAlign w:val="subscript"/>
        </w:rPr>
        <w:t>2</w:t>
      </w:r>
      <w:r>
        <w:rPr>
          <w:rFonts w:cs="Arial" w:ascii="Arial" w:hAnsi="Arial"/>
        </w:rPr>
        <w:t xml:space="preserve"> and SO</w:t>
      </w:r>
      <w:r>
        <w:rPr>
          <w:rFonts w:cs="Arial" w:ascii="Arial" w:hAnsi="Arial"/>
          <w:vertAlign w:val="subscript"/>
        </w:rPr>
        <w:t>2</w:t>
      </w:r>
      <w:r>
        <w:rPr>
          <w:rFonts w:cs="Arial" w:ascii="Arial" w:hAnsi="Arial"/>
        </w:rPr>
        <w:t xml:space="preserve"> are officially attainment pollutants and are, thus, also subject to under federal regulations.  Approximately 30 miles north of the Site, Bakersfield is currently designated as non-attainment for CO. However, the Air District expects Bakersfield will be re-classified as a CO attainment area in response to recent air quality improvements. </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rPr>
        <w:t>Pastoria Energy Facility is being permitted to meet a BACT NO</w:t>
      </w:r>
      <w:r>
        <w:rPr>
          <w:rFonts w:cs="Arial" w:ascii="Arial" w:hAnsi="Arial"/>
          <w:vertAlign w:val="subscript"/>
        </w:rPr>
        <w:t>X</w:t>
      </w:r>
      <w:r>
        <w:rPr>
          <w:rFonts w:cs="Arial" w:ascii="Arial" w:hAnsi="Arial"/>
        </w:rPr>
        <w:t xml:space="preserve"> standard of 2.5 ppmvd for new generation facilities, the same stringent air quality requirements as those promulgated by the the South Coast Air Quality Management District (“SCAQMD”).  </w:t>
      </w:r>
    </w:p>
    <w:p>
      <w:pPr>
        <w:pStyle w:val="Normal"/>
        <w:rPr>
          <w:rFonts w:ascii="Arial" w:hAnsi="Arial" w:cs="Arial"/>
          <w:b/>
        </w:rPr>
      </w:pPr>
      <w:r>
        <w:rPr>
          <w:rFonts w:cs="Arial" w:ascii="Arial" w:hAnsi="Arial"/>
          <w:b/>
        </w:rPr>
      </w:r>
    </w:p>
    <w:p>
      <w:pPr>
        <w:pStyle w:val="Normal"/>
        <w:rPr/>
      </w:pPr>
      <w:r>
        <w:rPr>
          <w:rFonts w:cs="Arial" w:ascii="Arial" w:hAnsi="Arial"/>
        </w:rPr>
        <w:t>State and federal laws require “major” new sources of criteria pollutants that are locating in non-attainment areas to mitigate their impact on ambient air quality.  The project is classified as a “major” new source of precursors of ozone (NO</w:t>
      </w:r>
      <w:r>
        <w:rPr>
          <w:rFonts w:cs="Arial" w:ascii="Arial" w:hAnsi="Arial"/>
          <w:vertAlign w:val="subscript"/>
        </w:rPr>
        <w:t>x</w:t>
      </w:r>
      <w:r>
        <w:rPr>
          <w:rFonts w:cs="Arial" w:ascii="Arial" w:hAnsi="Arial"/>
        </w:rPr>
        <w:t xml:space="preserve"> and VOC) by Rule 2201 – </w:t>
      </w:r>
      <w:r>
        <w:rPr>
          <w:rFonts w:cs="Arial" w:ascii="Arial" w:hAnsi="Arial"/>
          <w:i/>
        </w:rPr>
        <w:t>New and Modified Stationary Source Review.</w:t>
      </w:r>
      <w:r>
        <w:rPr>
          <w:rFonts w:cs="Arial" w:ascii="Arial" w:hAnsi="Arial"/>
        </w:rPr>
        <w:t xml:space="preserve">  Kern County is classified as a Serious Ozone Non-Attainment Area. The project, therefore, will be required to mitigate its impact on attainment of ambient air quality standards for ozone through the acquisition of.ERCs.</w:t>
      </w:r>
    </w:p>
    <w:p>
      <w:pPr>
        <w:pStyle w:val="Normal"/>
        <w:rPr>
          <w:rFonts w:ascii="Arial" w:hAnsi="Arial" w:cs="Arial"/>
        </w:rPr>
      </w:pPr>
      <w:r>
        <w:rPr>
          <w:rFonts w:cs="Arial" w:ascii="Arial" w:hAnsi="Arial"/>
        </w:rPr>
      </w:r>
    </w:p>
    <w:p>
      <w:pPr>
        <w:pStyle w:val="Normal"/>
        <w:rPr/>
      </w:pPr>
      <w:r>
        <w:rPr>
          <w:rFonts w:cs="Arial" w:ascii="Arial" w:hAnsi="Arial"/>
        </w:rPr>
        <w:t>The Project is also classified as a major source for PM</w:t>
      </w:r>
      <w:r>
        <w:rPr>
          <w:rFonts w:cs="Arial" w:ascii="Arial" w:hAnsi="Arial"/>
          <w:vertAlign w:val="subscript"/>
        </w:rPr>
        <w:t>10</w:t>
      </w:r>
      <w:r>
        <w:rPr>
          <w:rFonts w:cs="Arial" w:ascii="Arial" w:hAnsi="Arial"/>
        </w:rPr>
        <w:t>.  Kern County is classified a Serious PM</w:t>
      </w:r>
      <w:r>
        <w:rPr>
          <w:rFonts w:cs="Arial" w:ascii="Arial" w:hAnsi="Arial"/>
          <w:vertAlign w:val="subscript"/>
        </w:rPr>
        <w:t>10</w:t>
      </w:r>
      <w:r>
        <w:rPr>
          <w:rFonts w:cs="Arial" w:ascii="Arial" w:hAnsi="Arial"/>
        </w:rPr>
        <w:t xml:space="preserve"> Non-Attainment Area.  Air District rules require PM</w:t>
      </w:r>
      <w:r>
        <w:rPr>
          <w:rFonts w:cs="Arial" w:ascii="Arial" w:hAnsi="Arial"/>
          <w:vertAlign w:val="subscript"/>
        </w:rPr>
        <w:t>10</w:t>
      </w:r>
      <w:r>
        <w:rPr>
          <w:rFonts w:cs="Arial" w:ascii="Arial" w:hAnsi="Arial"/>
        </w:rPr>
        <w:t xml:space="preserve"> ERCs from all new sources which emit greater than 15 tons of PM</w:t>
      </w:r>
      <w:r>
        <w:rPr>
          <w:rFonts w:cs="Arial" w:ascii="Arial" w:hAnsi="Arial"/>
          <w:vertAlign w:val="subscript"/>
        </w:rPr>
        <w:t>10</w:t>
      </w:r>
      <w:r>
        <w:rPr>
          <w:rFonts w:cs="Arial" w:ascii="Arial" w:hAnsi="Arial"/>
        </w:rPr>
        <w:t xml:space="preserve"> annually. PM</w:t>
      </w:r>
      <w:r>
        <w:rPr>
          <w:rFonts w:cs="Arial" w:ascii="Arial" w:hAnsi="Arial"/>
          <w:vertAlign w:val="subscript"/>
        </w:rPr>
        <w:t>10</w:t>
      </w:r>
      <w:r>
        <w:rPr>
          <w:rFonts w:cs="Arial" w:ascii="Arial" w:hAnsi="Arial"/>
        </w:rPr>
        <w:t xml:space="preserve"> precursors include NO</w:t>
      </w:r>
      <w:r>
        <w:rPr>
          <w:rFonts w:cs="Arial" w:ascii="Arial" w:hAnsi="Arial"/>
          <w:vertAlign w:val="subscript"/>
        </w:rPr>
        <w:t>x</w:t>
      </w:r>
      <w:r>
        <w:rPr>
          <w:rFonts w:cs="Arial" w:ascii="Arial" w:hAnsi="Arial"/>
        </w:rPr>
        <w:t>, VOC and SO</w:t>
      </w:r>
      <w:r>
        <w:rPr>
          <w:rFonts w:cs="Arial" w:ascii="Arial" w:hAnsi="Arial"/>
          <w:vertAlign w:val="subscript"/>
        </w:rPr>
        <w:t>2</w:t>
      </w:r>
      <w:r>
        <w:rPr>
          <w:rFonts w:cs="Arial" w:ascii="Arial" w:hAnsi="Arial"/>
        </w:rPr>
        <w: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project is classified as a major source for CO but is exempt from offset requirements for sources in CO attainment areas. The project’s air quality impact assessment for CO demonstrates that the project will not cause or contribute to a violation, nor interfere with the attainment or maintenance, of any state or national ambient air quality standard for CO.</w:t>
      </w:r>
    </w:p>
    <w:p>
      <w:pPr>
        <w:pStyle w:val="Normal"/>
        <w:rPr>
          <w:rFonts w:ascii="Arial" w:hAnsi="Arial" w:cs="Arial"/>
        </w:rPr>
      </w:pPr>
      <w:r>
        <w:rPr>
          <w:rFonts w:cs="Arial" w:ascii="Arial" w:hAnsi="Arial"/>
        </w:rPr>
      </w:r>
    </w:p>
    <w:p>
      <w:pPr>
        <w:pStyle w:val="Normal"/>
        <w:rPr/>
      </w:pPr>
      <w:r>
        <w:rPr>
          <w:rFonts w:cs="Arial" w:ascii="Arial" w:hAnsi="Arial"/>
        </w:rPr>
        <w:t>ERCs are required for SO</w:t>
      </w:r>
      <w:r>
        <w:rPr>
          <w:rFonts w:cs="Arial" w:ascii="Arial" w:hAnsi="Arial"/>
          <w:vertAlign w:val="subscript"/>
        </w:rPr>
        <w:t>2</w:t>
      </w:r>
      <w:r>
        <w:rPr>
          <w:rFonts w:cs="Arial" w:ascii="Arial" w:hAnsi="Arial"/>
        </w:rPr>
        <w:t xml:space="preserve"> because the annual potential to emit is greater than 150 lb/day.  SO</w:t>
      </w:r>
      <w:r>
        <w:rPr>
          <w:rFonts w:cs="Arial" w:ascii="Arial" w:hAnsi="Arial"/>
          <w:vertAlign w:val="subscript"/>
        </w:rPr>
        <w:t>2</w:t>
      </w:r>
      <w:r>
        <w:rPr>
          <w:rFonts w:cs="Arial" w:ascii="Arial" w:hAnsi="Arial"/>
        </w:rPr>
        <w:t xml:space="preserve"> allowances are also required under Title IV of the Clean Air Act Amendments and they will be acquired by the project under the Title IV compliance program.</w:t>
      </w:r>
    </w:p>
    <w:p>
      <w:pPr>
        <w:pStyle w:val="Normal"/>
        <w:rPr>
          <w:rFonts w:ascii="Arial" w:hAnsi="Arial" w:cs="Arial"/>
        </w:rPr>
      </w:pPr>
      <w:r>
        <w:rPr>
          <w:rFonts w:cs="Arial" w:ascii="Arial" w:hAnsi="Arial"/>
        </w:rPr>
      </w:r>
    </w:p>
    <w:p>
      <w:pPr>
        <w:pStyle w:val="Normal"/>
        <w:rPr/>
      </w:pPr>
      <w:r>
        <w:rPr>
          <w:rFonts w:cs="Arial" w:ascii="Arial" w:hAnsi="Arial"/>
        </w:rPr>
        <w:t>Computer modeling approved by the U.S. Environmental Protection Agency (“EPA”) was used to predict air pollutant concentrations within six miles around the Site—all are below state and federal regulatory standards created to protect public health and safety.  Emission of NO</w:t>
      </w:r>
      <w:r>
        <w:rPr>
          <w:rFonts w:cs="Arial" w:ascii="Arial" w:hAnsi="Arial"/>
          <w:vertAlign w:val="subscript"/>
        </w:rPr>
        <w:t>X</w:t>
      </w:r>
      <w:r>
        <w:rPr>
          <w:rFonts w:cs="Arial" w:ascii="Arial" w:hAnsi="Arial"/>
        </w:rPr>
        <w:t>, VOC and PM</w:t>
      </w:r>
      <w:r>
        <w:rPr>
          <w:rFonts w:cs="Arial" w:ascii="Arial" w:hAnsi="Arial"/>
          <w:vertAlign w:val="subscript"/>
        </w:rPr>
        <w:t xml:space="preserve">10 </w:t>
      </w:r>
      <w:r>
        <w:rPr>
          <w:rFonts w:cs="Arial" w:ascii="Arial" w:hAnsi="Arial"/>
        </w:rPr>
        <w:t>will be fully offset by the acquisition of ERCs that have been certified or “banked” by the Air District.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Pastoria Energy Facility has acquired rights to all ERCs required for the Project.  The Air District  has approved the ERCs for use by the Project; it also has addressed to the satisfaction of the EPA, the EPA’s comments on the ERCs.   </w:t>
      </w:r>
    </w:p>
    <w:p>
      <w:pPr>
        <w:pStyle w:val="Normal"/>
        <w:rPr>
          <w:rFonts w:ascii="Arial" w:hAnsi="Arial" w:cs="Arial"/>
          <w:b/>
        </w:rPr>
      </w:pPr>
      <w:r>
        <w:rPr>
          <w:rFonts w:cs="Arial" w:ascii="Arial" w:hAnsi="Arial"/>
          <w:b/>
        </w:rPr>
      </w:r>
    </w:p>
    <w:p>
      <w:pPr>
        <w:pStyle w:val="Normal"/>
        <w:rPr/>
      </w:pPr>
      <w:r>
        <w:rPr>
          <w:rFonts w:cs="Arial" w:ascii="Arial" w:hAnsi="Arial"/>
          <w:b/>
        </w:rPr>
        <w:t>Biological Resources.</w:t>
      </w:r>
      <w:r>
        <w:rPr>
          <w:rFonts w:cs="Arial" w:ascii="Arial" w:hAnsi="Arial"/>
        </w:rPr>
        <w:t xml:space="preserve">  The San Joaquin kitfox, a protected species, is believed to forage on and around the Site.  Construction and operation of the project could attract or alter the patterns of the innately curious animal.  PEF has presented to the US Wildlife &amp; Fishery Service (“USWFS”), and they are currently negotiating, a Habitat Conservation Plan (“HCP”) to address any impact on the kitfox.  The HCP is required to be approved by the USWFS prior to the commencement of construction.</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r>
    </w:p>
    <w:p>
      <w:pPr>
        <w:pStyle w:val="DLJCoverPage2"/>
        <w:rPr>
          <w:rFonts w:ascii="Arial" w:hAnsi="Arial" w:cs="Arial"/>
        </w:rPr>
      </w:pPr>
      <w:r>
        <w:rPr>
          <w:rFonts w:cs="Arial" w:ascii="Arial" w:hAnsi="Arial"/>
        </w:rPr>
        <w:t>Project Agreements</w:t>
      </w:r>
    </w:p>
    <w:p>
      <w:pPr>
        <w:pStyle w:val="Normal"/>
        <w:rPr>
          <w:rFonts w:ascii="Arial" w:hAnsi="Arial" w:cs="Arial"/>
          <w:b/>
        </w:rPr>
      </w:pPr>
      <w:r>
        <w:rPr>
          <w:rFonts w:cs="Arial" w:ascii="Arial" w:hAnsi="Arial"/>
          <w:b/>
        </w:rPr>
      </w:r>
    </w:p>
    <w:p>
      <w:pPr>
        <w:pStyle w:val="Normal"/>
        <w:rPr/>
      </w:pPr>
      <w:r>
        <w:rPr>
          <w:rFonts w:cs="Arial" w:ascii="Arial" w:hAnsi="Arial"/>
          <w:b/>
        </w:rPr>
        <w:t xml:space="preserve">Tejon Agreements.  </w:t>
      </w:r>
      <w:r>
        <w:rPr>
          <w:rFonts w:cs="Arial" w:ascii="Arial" w:hAnsi="Arial"/>
        </w:rPr>
        <w:t>Pastoria Energy Facility and Tejon and certain of their affiliates have entered into a “Transaction Agreement” and an “Option Agreement” concerning the project.  The Option Agreement provides for a “Ground Lease” and “Easement Agreement” which will be entered into if Pastoria Energy Facility exercises its option under the Option Agreement.</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“Transaction Agreement”</w:t>
      </w:r>
      <w:r>
        <w:rPr>
          <w:rFonts w:cs="Arial" w:ascii="Arial" w:hAnsi="Arial"/>
        </w:rPr>
        <w:t xml:space="preserve"> outlines structural elements of the relationship between Pastoria Energy Facility and Tejon that overlay the arrangements contained in the other agreements.  The Transaction Agreement gives Pastoria Energy Facility control over development and operation of the project, and requires Tejon to actively support the project in various ways. The Transaction Agreement also establishes rules for the assignment of interests in the agreements with Tejon, and gives Tejon the option to acquire certain development assets in the event the option under the Option Agreement should terminate without being exercised.</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“Option Agreement”</w:t>
      </w:r>
      <w:r>
        <w:rPr>
          <w:rFonts w:cs="Arial" w:ascii="Arial" w:hAnsi="Arial"/>
        </w:rPr>
        <w:t xml:space="preserve"> grants Pastoria Energy Facility the right to lease the Site under the Ground Lease and to acquire easements under the Easement Agreement.  It establishes a 6-year option period and option consideration of $5 million payable in installments as follows: (i) $500,000 on April 30, 1999; (ii) $250,000 on December 30, 1999; (iii) $1 million at the earlier of October 1, 2000 and the date Pastoria Energy Facility signs a contract for cooling water which is satisfactory to Pastoria Energy Facility, and (iv) $100,000 monthly beginning June 1, 1999 and continuing thereafter until the $5 million plus interest at 10 percent is paid in full. Pastoria Energy Facility can at any time terminate its obligation to make future installment payments by giving up the option.  The unpaid balance of the option installment payments will be due at the earlier of financial closing (as defined in the Transaction Agreement) or option exercise.  </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“Ground Lease”</w:t>
      </w:r>
      <w:r>
        <w:rPr>
          <w:rFonts w:cs="Arial" w:ascii="Arial" w:hAnsi="Arial"/>
        </w:rPr>
        <w:t xml:space="preserve"> establishes the terms under which the project will occupy the Site.  The Ground Lease is for an initial term of 25 years running from the </w:t>
      </w:r>
      <w:r>
        <w:rPr>
          <w:rFonts w:cs="Arial" w:ascii="Arial" w:hAnsi="Arial"/>
          <w:i/>
        </w:rPr>
        <w:t xml:space="preserve">“Commencement Date,” </w:t>
      </w:r>
      <w:r>
        <w:rPr>
          <w:rFonts w:cs="Arial" w:ascii="Arial" w:hAnsi="Arial"/>
        </w:rPr>
        <w:t>which is the earlier of commercial operation or the third anniversary of option exercise.  It also includes options to extend for three, five-year terms.  The Ground Lease will be signed when the option is exercised.</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Ground Lease provides for fixed and variable rent.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fixed rent begins at the Commencement Date, and is subject to escalation for inflation over the term of the Ground Lease.  The fixed rent is $2.6 million per year, and is to be scaled up or down if the capacity of the project is more or less than 750 MW.</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variable rent also begins at the Commencement Date.  The variable rent, which will be calculated monthly, will be one percent of the “spark spread” between PX energy prices and the price of gas at the California/Arizona border.  A heat rate of 7,250 Btu/kWh is will be used to calculate the spark spread.  The spark spread formula is as basically follows:</w:t>
      </w:r>
    </w:p>
    <w:p>
      <w:pPr>
        <w:pStyle w:val="Normal"/>
        <w:rPr>
          <w:rFonts w:ascii="Arial" w:hAnsi="Arial" w:cs="Arial"/>
        </w:rPr>
      </w:pPr>
      <w:r>
        <w:rPr>
          <w:rFonts w:cs="Arial" w:ascii="Arial" w:hAnsi="Arial"/>
        </w:rPr>
        <w:t>H x [(C x PX) – (HR x C x GP)]</w:t>
      </w:r>
    </w:p>
    <w:p>
      <w:pPr>
        <w:pStyle w:val="Normal"/>
        <w:rPr>
          <w:rFonts w:ascii="Arial" w:hAnsi="Arial" w:cs="Arial"/>
        </w:rPr>
      </w:pPr>
      <w:r>
        <w:rPr>
          <w:rFonts w:cs="Arial" w:ascii="Arial" w:hAnsi="Arial"/>
        </w:rPr>
        <w:t>,where</w:t>
      </w:r>
    </w:p>
    <w:p>
      <w:pPr>
        <w:pStyle w:val="Normal"/>
        <w:ind w:firstLine="720" w:end="0"/>
        <w:rPr>
          <w:rFonts w:ascii="Arial" w:hAnsi="Arial" w:cs="Arial"/>
        </w:rPr>
      </w:pPr>
      <w:r>
        <w:rPr>
          <w:rFonts w:cs="Arial" w:ascii="Arial" w:hAnsi="Arial"/>
        </w:rPr>
        <w:t>“</w:t>
      </w:r>
      <w:r>
        <w:rPr>
          <w:rFonts w:cs="Arial" w:ascii="Arial" w:hAnsi="Arial"/>
        </w:rPr>
        <w:t>H” is the number of revenue hours in the applicable month;</w:t>
      </w:r>
    </w:p>
    <w:p>
      <w:pPr>
        <w:pStyle w:val="Normal"/>
        <w:ind w:start="720" w:end="0"/>
        <w:rPr>
          <w:rFonts w:ascii="Arial" w:hAnsi="Arial" w:cs="Arial"/>
        </w:rPr>
      </w:pPr>
      <w:r>
        <w:rPr>
          <w:rFonts w:cs="Arial" w:ascii="Arial" w:hAnsi="Arial"/>
        </w:rPr>
        <w:t>“</w:t>
      </w:r>
      <w:r>
        <w:rPr>
          <w:rFonts w:cs="Arial" w:ascii="Arial" w:hAnsi="Arial"/>
        </w:rPr>
        <w:t>C” is the electrical output of the Project guaranteed by the Project’s construction contractor;</w:t>
      </w:r>
    </w:p>
    <w:p>
      <w:pPr>
        <w:pStyle w:val="Normal"/>
        <w:ind w:firstLine="720" w:end="0"/>
        <w:rPr>
          <w:rFonts w:ascii="Arial" w:hAnsi="Arial" w:cs="Arial"/>
        </w:rPr>
      </w:pPr>
      <w:r>
        <w:rPr>
          <w:rFonts w:cs="Arial" w:ascii="Arial" w:hAnsi="Arial"/>
        </w:rPr>
        <w:t>“</w:t>
      </w:r>
      <w:r>
        <w:rPr>
          <w:rFonts w:cs="Arial" w:ascii="Arial" w:hAnsi="Arial"/>
        </w:rPr>
        <w:t xml:space="preserve">PX” is the average hourly price for energy at the PX during the applicable month; </w:t>
      </w:r>
    </w:p>
    <w:p>
      <w:pPr>
        <w:pStyle w:val="Normal"/>
        <w:ind w:firstLine="720" w:end="0"/>
        <w:rPr>
          <w:rFonts w:ascii="Arial" w:hAnsi="Arial" w:cs="Arial"/>
        </w:rPr>
      </w:pPr>
      <w:r>
        <w:rPr>
          <w:rFonts w:cs="Arial" w:ascii="Arial" w:hAnsi="Arial"/>
        </w:rPr>
        <w:t>“</w:t>
      </w:r>
      <w:r>
        <w:rPr>
          <w:rFonts w:cs="Arial" w:ascii="Arial" w:hAnsi="Arial"/>
        </w:rPr>
        <w:t>HR” is 7,250; and</w:t>
      </w:r>
    </w:p>
    <w:p>
      <w:pPr>
        <w:pStyle w:val="Normal"/>
        <w:ind w:start="720" w:end="0"/>
        <w:rPr>
          <w:rFonts w:ascii="Arial" w:hAnsi="Arial" w:cs="Arial"/>
        </w:rPr>
      </w:pPr>
      <w:r>
        <w:rPr>
          <w:rFonts w:cs="Arial" w:ascii="Arial" w:hAnsi="Arial"/>
        </w:rPr>
        <w:t>“</w:t>
      </w:r>
      <w:r>
        <w:rPr>
          <w:rFonts w:cs="Arial" w:ascii="Arial" w:hAnsi="Arial"/>
        </w:rPr>
        <w:t>GP” is the average daily price of gas at the California Arizona border during the applicable month.</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Up to $2.3 million is required to be advanced against the fixed rent, at the rate of $100,000 per month beginning in the month the option is exercised.  These advances are repaid, with interest, by way of credit in equal monthly installments against the first 4 years of fixed rent payments.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Ground Lease makes Pastoria Energy Facility responsible for all property taxes payable on either the land or the improvements during the term of the Ground Lease.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Ground Lease obligates Pastoria Energy Facility to decommission the project and return the land to its preconstruction condition at the end of the lease.  Buried pipelines may be abandoned in place in accordance with and to the extent allowed by applicable law and regulation.  At lease signing, Pastoria Energy Facility must post security for the decommissioning costs in the amount of $10 million.  The security will be a guarantee from the equity owners, a surety bond or other security satisfactory to Tejon.  </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“Easement Agreement”</w:t>
      </w:r>
      <w:r>
        <w:rPr>
          <w:rFonts w:cs="Arial" w:ascii="Arial" w:hAnsi="Arial"/>
        </w:rPr>
        <w:t xml:space="preserve"> establishes the terms under which the project will be permitted to occupy laterals running from the project site for access, transmission and gas lines and utilities required by the project.  All of these easements are included in the rent payable under the Ground Lease, except for any transmission lines required for direct service to the Edmonston pumping station or other users. These easement charges would be extra, and be paid for at the rates specified in the Transaction Agreement. </w:t>
      </w:r>
    </w:p>
    <w:p>
      <w:pPr>
        <w:pStyle w:val="Normal"/>
        <w:rPr>
          <w:rFonts w:ascii="Arial" w:hAnsi="Arial" w:cs="Arial"/>
        </w:rPr>
      </w:pPr>
      <w:r>
        <w:rPr>
          <w:rFonts w:cs="Arial" w:ascii="Arial" w:hAnsi="Arial"/>
        </w:rPr>
      </w:r>
    </w:p>
    <w:p>
      <w:pPr>
        <w:pStyle w:val="Normal"/>
        <w:rPr/>
      </w:pPr>
      <w:r>
        <w:rPr>
          <w:rFonts w:cs="Arial" w:ascii="Arial" w:hAnsi="Arial"/>
          <w:b/>
        </w:rPr>
        <w:t>ISO Participating Generator Agreement.</w:t>
      </w:r>
      <w:r>
        <w:rPr>
          <w:rFonts w:cs="Arial" w:ascii="Arial" w:hAnsi="Arial"/>
        </w:rPr>
        <w:t xml:space="preserve">  In order to supply energy into the ISO controlled grid, Pastoria Energy Facility will be required to enter into a Participating Generator Agreement (“PGA”) with the ISO.  Under the PGA, Pastoria Energy Facility will be required to comply with the ISO Tariff and ISO Protocols.  The ISO Tariff requires that generating units such as Pastoria Energy Facility schedule energy, ancillary services and other services through a Scheduling Coordinator. This agreement will not be executed until after financial close.</w:t>
      </w:r>
    </w:p>
    <w:p>
      <w:pPr>
        <w:pStyle w:val="Normal"/>
        <w:rPr>
          <w:rFonts w:ascii="Arial" w:hAnsi="Arial" w:cs="Arial"/>
        </w:rPr>
      </w:pPr>
      <w:r>
        <w:rPr>
          <w:rFonts w:cs="Arial" w:ascii="Arial" w:hAnsi="Arial"/>
        </w:rPr>
      </w:r>
    </w:p>
    <w:p>
      <w:pPr>
        <w:pStyle w:val="Normal"/>
        <w:rPr/>
      </w:pPr>
      <w:r>
        <w:rPr>
          <w:rFonts w:cs="Arial" w:ascii="Arial" w:hAnsi="Arial"/>
          <w:b/>
        </w:rPr>
        <w:t xml:space="preserve">Engineering, Procurement and Construction Turnkey Contract.  </w:t>
      </w:r>
      <w:r>
        <w:rPr>
          <w:rFonts w:cs="Arial" w:ascii="Arial" w:hAnsi="Arial"/>
        </w:rPr>
        <w:t>By financial close, PEF will have negotiated, but not executed, and EPC Agreement with NEPCO.  The EPC Agreement will be market based, including performance and completion guarantees. Enron North America will identify and initiate discussions with contractors but anticipates that an EPC Agreement will not be executed until after financial close.</w:t>
      </w:r>
    </w:p>
    <w:p>
      <w:pPr>
        <w:pStyle w:val="Normal"/>
        <w:rPr>
          <w:rFonts w:ascii="Arial" w:hAnsi="Arial" w:cs="Arial"/>
        </w:rPr>
      </w:pPr>
      <w:r>
        <w:rPr>
          <w:rFonts w:cs="Arial" w:ascii="Arial" w:hAnsi="Arial"/>
        </w:rPr>
      </w:r>
    </w:p>
    <w:p>
      <w:pPr>
        <w:pStyle w:val="Normal"/>
        <w:rPr/>
      </w:pPr>
      <w:r>
        <w:rPr>
          <w:rFonts w:cs="Arial" w:ascii="Arial" w:hAnsi="Arial"/>
          <w:b/>
        </w:rPr>
        <w:t>Labor Agreements.</w:t>
      </w:r>
      <w:r>
        <w:rPr>
          <w:rFonts w:cs="Arial" w:ascii="Arial" w:hAnsi="Arial"/>
        </w:rPr>
        <w:t xml:space="preserve">  Enron North America has committed to use union labor to construct, operate and maintain the project, and agreements are in place with all requisite unions for construction, operation and maintenance of the project.</w:t>
      </w:r>
    </w:p>
    <w:p>
      <w:pPr>
        <w:pStyle w:val="Normal"/>
        <w:rPr>
          <w:rFonts w:ascii="Arial" w:hAnsi="Arial" w:cs="Arial"/>
        </w:rPr>
      </w:pPr>
      <w:r>
        <w:rPr>
          <w:rFonts w:cs="Arial" w:ascii="Arial" w:hAnsi="Arial"/>
        </w:rPr>
      </w:r>
    </w:p>
    <w:p>
      <w:pPr>
        <w:pStyle w:val="Normal"/>
        <w:rPr/>
      </w:pPr>
      <w:r>
        <w:rPr>
          <w:rFonts w:cs="Arial" w:ascii="Arial" w:hAnsi="Arial"/>
          <w:b/>
        </w:rPr>
        <w:t>Timeline.</w:t>
      </w:r>
      <w:r>
        <w:rPr>
          <w:rFonts w:cs="Arial" w:ascii="Arial" w:hAnsi="Arial"/>
        </w:rPr>
        <w:t xml:space="preserve">  Upon receipt of the CEC permit, Pastoria Energy Facility expects the project timeline to be as follows:</w:t>
      </w:r>
    </w:p>
    <w:p>
      <w:pPr>
        <w:pStyle w:val="Normal"/>
        <w:rPr>
          <w:rFonts w:ascii="Arial" w:hAnsi="Arial" w:cs="Arial"/>
          <w:sz w:val="10"/>
        </w:rPr>
      </w:pPr>
      <w:r>
        <w:rPr>
          <w:rFonts w:cs="Arial" w:ascii="Arial" w:hAnsi="Arial"/>
          <w:sz w:val="10"/>
        </w:rPr>
      </w:r>
    </w:p>
    <w:tbl>
      <w:tblPr>
        <w:tblW w:w="8208" w:type="dxa"/>
        <w:jc w:val="start"/>
        <w:tblInd w:w="0" w:type="dxa"/>
        <w:tblLayout w:type="fixed"/>
        <w:tblCellMar>
          <w:top w:w="0" w:type="dxa"/>
          <w:start w:w="108" w:type="dxa"/>
          <w:bottom w:w="0" w:type="dxa"/>
          <w:end w:w="108" w:type="dxa"/>
        </w:tblCellMar>
      </w:tblPr>
      <w:tblGrid>
        <w:gridCol w:w="2160"/>
        <w:gridCol w:w="1998"/>
        <w:gridCol w:w="4050"/>
      </w:tblGrid>
      <w:tr>
        <w:trPr/>
        <w:tc>
          <w:tcPr>
            <w:tcW w:w="2160"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Year</w:t>
            </w:r>
          </w:p>
        </w:tc>
        <w:tc>
          <w:tcPr>
            <w:tcW w:w="1998"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Quarter</w:t>
            </w:r>
          </w:p>
        </w:tc>
        <w:tc>
          <w:tcPr>
            <w:tcW w:w="4050"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Milestone</w:t>
            </w:r>
          </w:p>
        </w:tc>
      </w:tr>
      <w:tr>
        <w:trPr/>
        <w:tc>
          <w:tcPr>
            <w:tcW w:w="2160" w:type="dxa"/>
            <w:tcBorders/>
          </w:tcPr>
          <w:p>
            <w:pPr>
              <w:pStyle w:val="Normal"/>
              <w:spacing w:before="120" w:after="120"/>
              <w:jc w:val="center"/>
              <w:rPr>
                <w:rFonts w:ascii="Arial" w:hAnsi="Arial" w:cs="Arial"/>
              </w:rPr>
            </w:pPr>
            <w:r>
              <w:rPr>
                <w:rFonts w:cs="Arial" w:ascii="Arial" w:hAnsi="Arial"/>
              </w:rPr>
              <w:t>2000</w:t>
            </w:r>
          </w:p>
        </w:tc>
        <w:tc>
          <w:tcPr>
            <w:tcW w:w="1998" w:type="dxa"/>
            <w:tcBorders/>
          </w:tcPr>
          <w:p>
            <w:pPr>
              <w:pStyle w:val="Normal"/>
              <w:spacing w:before="120" w:after="120"/>
              <w:jc w:val="center"/>
              <w:rPr>
                <w:rFonts w:ascii="Arial" w:hAnsi="Arial" w:cs="Arial"/>
              </w:rPr>
            </w:pPr>
            <w:r>
              <w:rPr>
                <w:rFonts w:cs="Arial" w:ascii="Arial" w:hAnsi="Arial"/>
              </w:rPr>
              <w:t>4</w:t>
            </w:r>
          </w:p>
        </w:tc>
        <w:tc>
          <w:tcPr>
            <w:tcW w:w="4050" w:type="dxa"/>
            <w:tcBorders/>
          </w:tcPr>
          <w:p>
            <w:pPr>
              <w:pStyle w:val="FCSSubLogoText"/>
              <w:keepNext w:val="false"/>
              <w:keepLines w:val="false"/>
              <w:spacing w:before="120" w:after="120"/>
              <w:jc w:val="start"/>
              <w:rPr>
                <w:rFonts w:ascii="Arial" w:hAnsi="Arial" w:cs="Arial"/>
                <w:kern w:val="0"/>
              </w:rPr>
            </w:pPr>
            <w:r>
              <w:rPr>
                <w:rFonts w:cs="Arial" w:ascii="Arial" w:hAnsi="Arial"/>
                <w:kern w:val="0"/>
              </w:rPr>
              <w:t>Obtain CEC Permit &amp; Air Permit</w:t>
            </w:r>
          </w:p>
        </w:tc>
      </w:tr>
      <w:tr>
        <w:trPr/>
        <w:tc>
          <w:tcPr>
            <w:tcW w:w="2160" w:type="dxa"/>
            <w:tcBorders/>
          </w:tcPr>
          <w:p>
            <w:pPr>
              <w:pStyle w:val="FCSSubLogoText"/>
              <w:keepNext w:val="false"/>
              <w:keepLines w:val="false"/>
              <w:spacing w:before="120" w:after="120"/>
              <w:rPr>
                <w:rFonts w:ascii="Arial" w:hAnsi="Arial" w:cs="Arial"/>
                <w:kern w:val="0"/>
              </w:rPr>
            </w:pPr>
            <w:r>
              <w:rPr>
                <w:rFonts w:cs="Arial" w:ascii="Arial" w:hAnsi="Arial"/>
                <w:kern w:val="0"/>
              </w:rPr>
              <w:t>2000</w:t>
            </w:r>
          </w:p>
        </w:tc>
        <w:tc>
          <w:tcPr>
            <w:tcW w:w="1998" w:type="dxa"/>
            <w:tcBorders/>
          </w:tcPr>
          <w:p>
            <w:pPr>
              <w:pStyle w:val="Normal"/>
              <w:spacing w:before="120" w:after="120"/>
              <w:jc w:val="center"/>
              <w:rPr>
                <w:rFonts w:ascii="Arial" w:hAnsi="Arial" w:cs="Arial"/>
              </w:rPr>
            </w:pPr>
            <w:r>
              <w:rPr>
                <w:rFonts w:cs="Arial" w:ascii="Arial" w:hAnsi="Arial"/>
              </w:rPr>
              <w:t>4</w:t>
            </w:r>
          </w:p>
        </w:tc>
        <w:tc>
          <w:tcPr>
            <w:tcW w:w="4050" w:type="dxa"/>
            <w:tcBorders/>
          </w:tcPr>
          <w:p>
            <w:pPr>
              <w:pStyle w:val="Normal"/>
              <w:spacing w:before="120" w:after="120"/>
              <w:rPr>
                <w:rFonts w:ascii="Arial" w:hAnsi="Arial" w:cs="Arial"/>
              </w:rPr>
            </w:pPr>
            <w:r>
              <w:rPr>
                <w:rFonts w:cs="Arial" w:ascii="Arial" w:hAnsi="Arial"/>
              </w:rPr>
              <w:t>Financial Closing</w:t>
            </w:r>
          </w:p>
        </w:tc>
      </w:tr>
      <w:tr>
        <w:trPr>
          <w:trHeight w:val="405" w:hRule="atLeast"/>
        </w:trPr>
        <w:tc>
          <w:tcPr>
            <w:tcW w:w="2160" w:type="dxa"/>
            <w:tcBorders/>
          </w:tcPr>
          <w:p>
            <w:pPr>
              <w:pStyle w:val="Normal"/>
              <w:spacing w:before="120" w:after="120"/>
              <w:jc w:val="center"/>
              <w:rPr>
                <w:rFonts w:ascii="Arial" w:hAnsi="Arial" w:cs="Arial"/>
              </w:rPr>
            </w:pPr>
            <w:r>
              <w:rPr>
                <w:rFonts w:cs="Arial" w:ascii="Arial" w:hAnsi="Arial"/>
              </w:rPr>
              <w:t>2001</w:t>
            </w:r>
          </w:p>
        </w:tc>
        <w:tc>
          <w:tcPr>
            <w:tcW w:w="1998" w:type="dxa"/>
            <w:tcBorders/>
          </w:tcPr>
          <w:p>
            <w:pPr>
              <w:pStyle w:val="Normal"/>
              <w:spacing w:before="120" w:after="120"/>
              <w:jc w:val="center"/>
              <w:rPr>
                <w:rFonts w:ascii="Arial" w:hAnsi="Arial" w:cs="Arial"/>
              </w:rPr>
            </w:pPr>
            <w:r>
              <w:rPr>
                <w:rFonts w:cs="Arial" w:ascii="Arial" w:hAnsi="Arial"/>
              </w:rPr>
              <w:t>2</w:t>
            </w:r>
          </w:p>
        </w:tc>
        <w:tc>
          <w:tcPr>
            <w:tcW w:w="4050" w:type="dxa"/>
            <w:tcBorders/>
          </w:tcPr>
          <w:p>
            <w:pPr>
              <w:pStyle w:val="CIMContactAddress"/>
              <w:spacing w:lineRule="auto" w:line="240" w:before="120" w:after="120"/>
              <w:rPr>
                <w:rFonts w:ascii="Arial" w:hAnsi="Arial" w:cs="Arial"/>
              </w:rPr>
            </w:pPr>
            <w:r>
              <w:rPr>
                <w:rFonts w:cs="Arial" w:ascii="Arial" w:hAnsi="Arial"/>
              </w:rPr>
              <w:t>Begin Construction</w:t>
            </w:r>
          </w:p>
        </w:tc>
      </w:tr>
      <w:tr>
        <w:trPr/>
        <w:tc>
          <w:tcPr>
            <w:tcW w:w="2160" w:type="dxa"/>
            <w:tcBorders/>
          </w:tcPr>
          <w:p>
            <w:pPr>
              <w:pStyle w:val="Normal"/>
              <w:spacing w:before="120" w:after="120"/>
              <w:jc w:val="center"/>
              <w:rPr>
                <w:rFonts w:ascii="Arial" w:hAnsi="Arial" w:cs="Arial"/>
              </w:rPr>
            </w:pPr>
            <w:r>
              <w:rPr>
                <w:rFonts w:cs="Arial" w:ascii="Arial" w:hAnsi="Arial"/>
              </w:rPr>
              <w:t>2002</w:t>
            </w:r>
          </w:p>
        </w:tc>
        <w:tc>
          <w:tcPr>
            <w:tcW w:w="1998" w:type="dxa"/>
            <w:tcBorders/>
          </w:tcPr>
          <w:p>
            <w:pPr>
              <w:pStyle w:val="Normal"/>
              <w:spacing w:before="120" w:after="120"/>
              <w:jc w:val="center"/>
              <w:rPr>
                <w:rFonts w:ascii="Arial" w:hAnsi="Arial" w:cs="Arial"/>
              </w:rPr>
            </w:pPr>
            <w:r>
              <w:rPr>
                <w:rFonts w:cs="Arial" w:ascii="Arial" w:hAnsi="Arial"/>
              </w:rPr>
              <w:t>4</w:t>
            </w:r>
          </w:p>
        </w:tc>
        <w:tc>
          <w:tcPr>
            <w:tcW w:w="4050" w:type="dxa"/>
            <w:tcBorders/>
          </w:tcPr>
          <w:p>
            <w:pPr>
              <w:pStyle w:val="Normal"/>
              <w:spacing w:before="120" w:after="120"/>
              <w:rPr>
                <w:rFonts w:ascii="Arial" w:hAnsi="Arial" w:cs="Arial"/>
              </w:rPr>
            </w:pPr>
            <w:r>
              <w:rPr>
                <w:rFonts w:cs="Arial" w:ascii="Arial" w:hAnsi="Arial"/>
              </w:rPr>
              <w:t>Start-Up Testing</w:t>
            </w:r>
          </w:p>
        </w:tc>
      </w:tr>
      <w:tr>
        <w:trPr/>
        <w:tc>
          <w:tcPr>
            <w:tcW w:w="2160" w:type="dxa"/>
            <w:tcBorders>
              <w:bottom w:val="single" w:sz="2" w:space="0" w:color="000000"/>
            </w:tcBorders>
          </w:tcPr>
          <w:p>
            <w:pPr>
              <w:pStyle w:val="Normal"/>
              <w:spacing w:before="120" w:after="120"/>
              <w:jc w:val="center"/>
              <w:rPr>
                <w:rFonts w:ascii="Arial" w:hAnsi="Arial" w:cs="Arial"/>
              </w:rPr>
            </w:pPr>
            <w:r>
              <w:rPr>
                <w:rFonts w:cs="Arial" w:ascii="Arial" w:hAnsi="Arial"/>
              </w:rPr>
              <w:t>2003</w:t>
            </w:r>
          </w:p>
        </w:tc>
        <w:tc>
          <w:tcPr>
            <w:tcW w:w="1998" w:type="dxa"/>
            <w:tcBorders>
              <w:bottom w:val="single" w:sz="2" w:space="0" w:color="000000"/>
            </w:tcBorders>
          </w:tcPr>
          <w:p>
            <w:pPr>
              <w:pStyle w:val="Normal"/>
              <w:spacing w:before="120" w:after="120"/>
              <w:jc w:val="center"/>
              <w:rPr>
                <w:rFonts w:ascii="Arial" w:hAnsi="Arial" w:cs="Arial"/>
              </w:rPr>
            </w:pPr>
            <w:r>
              <w:rPr>
                <w:rFonts w:cs="Arial" w:ascii="Arial" w:hAnsi="Arial"/>
              </w:rPr>
              <w:t>2</w:t>
            </w:r>
          </w:p>
        </w:tc>
        <w:tc>
          <w:tcPr>
            <w:tcW w:w="4050" w:type="dxa"/>
            <w:tcBorders>
              <w:bottom w:val="single" w:sz="2" w:space="0" w:color="000000"/>
            </w:tcBorders>
          </w:tcPr>
          <w:p>
            <w:pPr>
              <w:pStyle w:val="Normal"/>
              <w:spacing w:before="120" w:after="120"/>
              <w:rPr>
                <w:rFonts w:ascii="Arial" w:hAnsi="Arial" w:cs="Arial"/>
              </w:rPr>
            </w:pPr>
            <w:r>
              <w:rPr>
                <w:rFonts w:cs="Arial" w:ascii="Arial" w:hAnsi="Arial"/>
              </w:rPr>
              <w:t>Commercial Operation</w:t>
            </w:r>
          </w:p>
        </w:tc>
      </w:tr>
    </w:tbl>
    <w:p>
      <w:pPr>
        <w:pStyle w:val="TableImpColHd"/>
        <w:keepLines w:val="false"/>
        <w:spacing w:before="0" w:after="0"/>
        <w:rPr>
          <w:b w:val="false"/>
          <w:kern w:val="0"/>
          <w:sz w:val="20"/>
        </w:rPr>
      </w:pPr>
      <w:r>
        <w:rPr>
          <w:b w:val="false"/>
          <w:kern w:val="0"/>
          <w:sz w:val="20"/>
        </w:rPr>
      </w:r>
    </w:p>
    <w:p>
      <w:pPr>
        <w:pStyle w:val="TableImpColHd"/>
        <w:keepLines w:val="false"/>
        <w:spacing w:before="0" w:after="0"/>
        <w:rPr>
          <w:b w:val="false"/>
          <w:kern w:val="0"/>
          <w:sz w:val="20"/>
        </w:rPr>
      </w:pPr>
      <w:r>
        <w:rPr>
          <w:b w:val="false"/>
          <w:kern w:val="0"/>
          <w:sz w:val="20"/>
        </w:rPr>
      </w:r>
    </w:p>
    <w:p>
      <w:pPr>
        <w:pStyle w:val="DLJCoverPage2"/>
        <w:rPr>
          <w:rFonts w:ascii="Arial" w:hAnsi="Arial" w:cs="Arial"/>
        </w:rPr>
      </w:pPr>
      <w:r>
        <w:rPr>
          <w:rFonts w:cs="Arial" w:ascii="Arial" w:hAnsi="Arial"/>
        </w:rPr>
        <w:t>Project Assumptions</w:t>
      </w:r>
    </w:p>
    <w:p>
      <w:pPr>
        <w:pStyle w:val="Normal"/>
        <w:rPr>
          <w:rFonts w:ascii="Arial" w:hAnsi="Arial" w:cs="Arial"/>
          <w:b/>
        </w:rPr>
      </w:pPr>
      <w:r>
        <w:rPr>
          <w:rFonts w:cs="Arial" w:ascii="Arial" w:hAnsi="Arial"/>
          <w:b/>
        </w:rPr>
      </w:r>
    </w:p>
    <w:p>
      <w:pPr>
        <w:pStyle w:val="Normal"/>
        <w:rPr/>
      </w:pPr>
      <w:r>
        <w:rPr>
          <w:rFonts w:cs="Arial" w:ascii="Arial" w:hAnsi="Arial"/>
          <w:b/>
        </w:rPr>
        <w:t>Plant Performance Assumptions.</w:t>
      </w:r>
      <w:r>
        <w:rPr>
          <w:rFonts w:cs="Arial" w:ascii="Arial" w:hAnsi="Arial"/>
        </w:rPr>
        <w:t xml:space="preserve">  Estimated performance assumptions for the project are provided in the table below.  Assumptions are subject to change. </w:t>
      </w:r>
    </w:p>
    <w:p>
      <w:pPr>
        <w:pStyle w:val="Normal"/>
        <w:rPr>
          <w:rFonts w:ascii="Arial" w:hAnsi="Arial" w:cs="Arial"/>
          <w:sz w:val="10"/>
        </w:rPr>
      </w:pPr>
      <w:r>
        <w:rPr>
          <w:rFonts w:cs="Arial" w:ascii="Arial" w:hAnsi="Arial"/>
          <w:sz w:val="10"/>
        </w:rPr>
      </w:r>
    </w:p>
    <w:tbl>
      <w:tblPr>
        <w:tblW w:w="7867" w:type="dxa"/>
        <w:jc w:val="start"/>
        <w:tblInd w:w="0" w:type="dxa"/>
        <w:tblLayout w:type="fixed"/>
        <w:tblCellMar>
          <w:top w:w="0" w:type="dxa"/>
          <w:start w:w="108" w:type="dxa"/>
          <w:bottom w:w="0" w:type="dxa"/>
          <w:end w:w="108" w:type="dxa"/>
        </w:tblCellMar>
      </w:tblPr>
      <w:tblGrid>
        <w:gridCol w:w="4428"/>
        <w:gridCol w:w="3439"/>
      </w:tblGrid>
      <w:tr>
        <w:trPr/>
        <w:tc>
          <w:tcPr>
            <w:tcW w:w="4428" w:type="dxa"/>
            <w:tcBorders>
              <w:top w:val="single" w:sz="12" w:space="0" w:color="000000"/>
              <w:bottom w:val="single" w:sz="2" w:space="0" w:color="000000"/>
            </w:tcBorders>
          </w:tcPr>
          <w:p>
            <w:pPr>
              <w:pStyle w:val="Normal"/>
              <w:spacing w:before="120" w:after="120"/>
              <w:jc w:val="center"/>
              <w:rPr>
                <w:rFonts w:ascii="Arial" w:hAnsi="Arial" w:cs="Arial"/>
                <w:b/>
              </w:rPr>
            </w:pPr>
            <w:r>
              <w:rPr>
                <w:rFonts w:cs="Arial" w:ascii="Arial" w:hAnsi="Arial"/>
                <w:b/>
              </w:rPr>
              <w:t>Category</w:t>
            </w:r>
          </w:p>
        </w:tc>
        <w:tc>
          <w:tcPr>
            <w:tcW w:w="3439" w:type="dxa"/>
            <w:tcBorders>
              <w:top w:val="single" w:sz="12" w:space="0" w:color="000000"/>
              <w:bottom w:val="single" w:sz="2" w:space="0" w:color="000000"/>
            </w:tcBorders>
          </w:tcPr>
          <w:p>
            <w:pPr>
              <w:pStyle w:val="Heading1"/>
              <w:spacing w:before="120" w:after="120"/>
              <w:rPr/>
            </w:pPr>
            <w:r>
              <w:rPr/>
              <w:t>Assumption</w:t>
            </w:r>
          </w:p>
        </w:tc>
      </w:tr>
      <w:tr>
        <w:trPr/>
        <w:tc>
          <w:tcPr>
            <w:tcW w:w="4428" w:type="dxa"/>
            <w:tcBorders/>
          </w:tcPr>
          <w:p>
            <w:pPr>
              <w:pStyle w:val="Normal"/>
              <w:spacing w:before="120" w:after="120"/>
              <w:rPr>
                <w:rFonts w:ascii="Arial" w:hAnsi="Arial" w:cs="Arial"/>
              </w:rPr>
            </w:pPr>
            <w:r>
              <w:rPr>
                <w:rFonts w:cs="Arial" w:ascii="Arial" w:hAnsi="Arial"/>
              </w:rPr>
              <w:t>Availability</w:t>
            </w:r>
          </w:p>
        </w:tc>
        <w:tc>
          <w:tcPr>
            <w:tcW w:w="3439" w:type="dxa"/>
            <w:tcBorders/>
          </w:tcPr>
          <w:p>
            <w:pPr>
              <w:pStyle w:val="FCSSubLogoText"/>
              <w:keepNext w:val="false"/>
              <w:keepLines w:val="false"/>
              <w:spacing w:before="120" w:after="120"/>
              <w:ind w:start="2052" w:end="0"/>
              <w:rPr>
                <w:rFonts w:ascii="Arial" w:hAnsi="Arial" w:cs="Arial"/>
                <w:kern w:val="0"/>
              </w:rPr>
            </w:pPr>
            <w:r>
              <w:rPr>
                <w:rFonts w:cs="Arial" w:ascii="Arial" w:hAnsi="Arial"/>
                <w:kern w:val="0"/>
              </w:rPr>
              <w:t>94%</w:t>
            </w:r>
          </w:p>
        </w:tc>
      </w:tr>
      <w:tr>
        <w:trPr/>
        <w:tc>
          <w:tcPr>
            <w:tcW w:w="4428" w:type="dxa"/>
            <w:tcBorders/>
          </w:tcPr>
          <w:p>
            <w:pPr>
              <w:pStyle w:val="CIMContactAddress"/>
              <w:spacing w:lineRule="auto" w:line="240" w:before="120" w:after="120"/>
              <w:rPr>
                <w:rFonts w:ascii="Arial" w:hAnsi="Arial" w:cs="Arial"/>
              </w:rPr>
            </w:pPr>
            <w:r>
              <w:rPr>
                <w:rFonts w:cs="Arial" w:ascii="Arial" w:hAnsi="Arial"/>
              </w:rPr>
              <w:t>Maximum Net Output (MW)</w:t>
            </w:r>
          </w:p>
        </w:tc>
        <w:tc>
          <w:tcPr>
            <w:tcW w:w="3439" w:type="dxa"/>
            <w:tcBorders/>
          </w:tcPr>
          <w:p>
            <w:pPr>
              <w:pStyle w:val="Normal"/>
              <w:spacing w:before="120" w:after="120"/>
              <w:ind w:start="2052" w:end="0"/>
              <w:jc w:val="center"/>
              <w:rPr>
                <w:rFonts w:ascii="Arial" w:hAnsi="Arial" w:cs="Arial"/>
              </w:rPr>
            </w:pPr>
            <w:r>
              <w:rPr>
                <w:rFonts w:cs="Arial" w:ascii="Arial" w:hAnsi="Arial"/>
              </w:rPr>
              <w:t>750</w:t>
            </w:r>
          </w:p>
        </w:tc>
      </w:tr>
      <w:tr>
        <w:trPr/>
        <w:tc>
          <w:tcPr>
            <w:tcW w:w="4428" w:type="dxa"/>
            <w:tcBorders/>
          </w:tcPr>
          <w:p>
            <w:pPr>
              <w:pStyle w:val="Normal"/>
              <w:spacing w:before="120" w:after="120"/>
              <w:rPr>
                <w:rFonts w:ascii="Arial" w:hAnsi="Arial" w:cs="Arial"/>
              </w:rPr>
            </w:pPr>
            <w:r>
              <w:rPr>
                <w:rFonts w:cs="Arial" w:ascii="Arial" w:hAnsi="Arial"/>
              </w:rPr>
              <w:t>Heat Rate at Maximum Output (Btu/kWh)</w:t>
            </w:r>
          </w:p>
        </w:tc>
        <w:tc>
          <w:tcPr>
            <w:tcW w:w="3439" w:type="dxa"/>
            <w:tcBorders/>
          </w:tcPr>
          <w:p>
            <w:pPr>
              <w:pStyle w:val="Normal"/>
              <w:spacing w:before="120" w:after="120"/>
              <w:ind w:start="2052" w:end="0"/>
              <w:jc w:val="center"/>
              <w:rPr>
                <w:rFonts w:ascii="Arial" w:hAnsi="Arial" w:cs="Arial"/>
              </w:rPr>
            </w:pPr>
            <w:r>
              <w:rPr>
                <w:rFonts w:cs="Arial" w:ascii="Arial" w:hAnsi="Arial"/>
              </w:rPr>
              <w:t>7,000</w:t>
            </w:r>
          </w:p>
        </w:tc>
      </w:tr>
      <w:tr>
        <w:trPr/>
        <w:tc>
          <w:tcPr>
            <w:tcW w:w="4428" w:type="dxa"/>
            <w:tcBorders/>
          </w:tcPr>
          <w:p>
            <w:pPr>
              <w:pStyle w:val="CIMContactAddress"/>
              <w:spacing w:lineRule="auto" w:line="240" w:before="120" w:after="120"/>
              <w:rPr>
                <w:rFonts w:ascii="Arial" w:hAnsi="Arial" w:cs="Arial"/>
              </w:rPr>
            </w:pPr>
            <w:r>
              <w:rPr>
                <w:rFonts w:cs="Arial" w:ascii="Arial" w:hAnsi="Arial"/>
              </w:rPr>
              <w:t>Fuel Usage at Maximum Output (MMBtu/hr)</w:t>
            </w:r>
          </w:p>
        </w:tc>
        <w:tc>
          <w:tcPr>
            <w:tcW w:w="3439" w:type="dxa"/>
            <w:tcBorders/>
          </w:tcPr>
          <w:p>
            <w:pPr>
              <w:pStyle w:val="Normal"/>
              <w:spacing w:before="120" w:after="120"/>
              <w:ind w:start="2052" w:end="0"/>
              <w:jc w:val="center"/>
              <w:rPr>
                <w:rFonts w:ascii="Arial" w:hAnsi="Arial" w:cs="Arial"/>
              </w:rPr>
            </w:pPr>
            <w:r>
              <w:rPr>
                <w:rFonts w:cs="Arial" w:ascii="Arial" w:hAnsi="Arial"/>
              </w:rPr>
              <w:t>5,520</w:t>
            </w:r>
          </w:p>
        </w:tc>
      </w:tr>
      <w:tr>
        <w:trPr/>
        <w:tc>
          <w:tcPr>
            <w:tcW w:w="4428" w:type="dxa"/>
            <w:tcBorders/>
          </w:tcPr>
          <w:p>
            <w:pPr>
              <w:pStyle w:val="Normal"/>
              <w:spacing w:before="120" w:after="120"/>
              <w:rPr>
                <w:rFonts w:ascii="Arial" w:hAnsi="Arial" w:cs="Arial"/>
              </w:rPr>
            </w:pPr>
            <w:r>
              <w:rPr>
                <w:rFonts w:cs="Arial" w:ascii="Arial" w:hAnsi="Arial"/>
              </w:rPr>
              <w:t>Minimum Net Output (MW)</w:t>
            </w:r>
          </w:p>
        </w:tc>
        <w:tc>
          <w:tcPr>
            <w:tcW w:w="3439" w:type="dxa"/>
            <w:tcBorders/>
          </w:tcPr>
          <w:p>
            <w:pPr>
              <w:pStyle w:val="Normal"/>
              <w:spacing w:before="120" w:after="120"/>
              <w:ind w:start="2052" w:end="0"/>
              <w:jc w:val="center"/>
              <w:rPr>
                <w:rFonts w:ascii="Arial" w:hAnsi="Arial" w:cs="Arial"/>
              </w:rPr>
            </w:pPr>
            <w:r>
              <w:rPr>
                <w:rFonts w:cs="Arial" w:ascii="Arial" w:hAnsi="Arial"/>
              </w:rPr>
              <w:t>150</w:t>
            </w:r>
          </w:p>
        </w:tc>
      </w:tr>
      <w:tr>
        <w:trPr/>
        <w:tc>
          <w:tcPr>
            <w:tcW w:w="4428" w:type="dxa"/>
            <w:tcBorders/>
          </w:tcPr>
          <w:p>
            <w:pPr>
              <w:pStyle w:val="Normal"/>
              <w:spacing w:before="120" w:after="120"/>
              <w:rPr>
                <w:rFonts w:ascii="Arial" w:hAnsi="Arial" w:cs="Arial"/>
              </w:rPr>
            </w:pPr>
            <w:r>
              <w:rPr>
                <w:rFonts w:cs="Arial" w:ascii="Arial" w:hAnsi="Arial"/>
              </w:rPr>
              <w:t>Heat Rate at Minimum Output (Btu/kWh)</w:t>
            </w:r>
          </w:p>
        </w:tc>
        <w:tc>
          <w:tcPr>
            <w:tcW w:w="3439" w:type="dxa"/>
            <w:tcBorders/>
          </w:tcPr>
          <w:p>
            <w:pPr>
              <w:pStyle w:val="Normal"/>
              <w:spacing w:before="120" w:after="120"/>
              <w:ind w:start="2052" w:end="0"/>
              <w:jc w:val="center"/>
              <w:rPr>
                <w:rFonts w:ascii="Arial" w:hAnsi="Arial" w:cs="Arial"/>
              </w:rPr>
            </w:pPr>
            <w:r>
              <w:rPr>
                <w:rFonts w:cs="Arial" w:ascii="Arial" w:hAnsi="Arial"/>
              </w:rPr>
              <w:t>9,000</w:t>
            </w:r>
          </w:p>
        </w:tc>
      </w:tr>
      <w:tr>
        <w:trPr/>
        <w:tc>
          <w:tcPr>
            <w:tcW w:w="4428" w:type="dxa"/>
            <w:tcBorders/>
          </w:tcPr>
          <w:p>
            <w:pPr>
              <w:pStyle w:val="Normal"/>
              <w:spacing w:before="120" w:after="120"/>
              <w:rPr>
                <w:rFonts w:ascii="Arial" w:hAnsi="Arial" w:cs="Arial"/>
              </w:rPr>
            </w:pPr>
            <w:r>
              <w:rPr>
                <w:rFonts w:cs="Arial" w:ascii="Arial" w:hAnsi="Arial"/>
              </w:rPr>
              <w:t>Fuel Usage at Minimum Output (MMBtu/hr)</w:t>
            </w:r>
          </w:p>
        </w:tc>
        <w:tc>
          <w:tcPr>
            <w:tcW w:w="3439" w:type="dxa"/>
            <w:tcBorders/>
          </w:tcPr>
          <w:p>
            <w:pPr>
              <w:pStyle w:val="Normal"/>
              <w:spacing w:before="120" w:after="120"/>
              <w:ind w:start="2052" w:end="0"/>
              <w:jc w:val="center"/>
              <w:rPr>
                <w:rFonts w:ascii="Arial" w:hAnsi="Arial" w:cs="Arial"/>
              </w:rPr>
            </w:pPr>
            <w:r>
              <w:rPr>
                <w:rFonts w:cs="Arial" w:ascii="Arial" w:hAnsi="Arial"/>
              </w:rPr>
              <w:t>1,350</w:t>
            </w:r>
          </w:p>
        </w:tc>
      </w:tr>
      <w:tr>
        <w:trPr/>
        <w:tc>
          <w:tcPr>
            <w:tcW w:w="4428" w:type="dxa"/>
            <w:tcBorders>
              <w:bottom w:val="single" w:sz="2" w:space="0" w:color="000000"/>
            </w:tcBorders>
          </w:tcPr>
          <w:p>
            <w:pPr>
              <w:pStyle w:val="Normal"/>
              <w:spacing w:before="120" w:after="120"/>
              <w:rPr>
                <w:rFonts w:ascii="Arial" w:hAnsi="Arial" w:cs="Arial"/>
              </w:rPr>
            </w:pPr>
            <w:r>
              <w:rPr>
                <w:rFonts w:cs="Arial" w:ascii="Arial" w:hAnsi="Arial"/>
              </w:rPr>
              <w:t>Water Usage (acre-feet/yr)</w:t>
            </w:r>
          </w:p>
        </w:tc>
        <w:tc>
          <w:tcPr>
            <w:tcW w:w="3439" w:type="dxa"/>
            <w:tcBorders>
              <w:bottom w:val="single" w:sz="2" w:space="0" w:color="000000"/>
            </w:tcBorders>
          </w:tcPr>
          <w:p>
            <w:pPr>
              <w:pStyle w:val="Normal"/>
              <w:spacing w:before="120" w:after="120"/>
              <w:ind w:start="2052" w:end="0"/>
              <w:jc w:val="center"/>
              <w:rPr>
                <w:rFonts w:ascii="Arial" w:hAnsi="Arial" w:cs="Arial"/>
              </w:rPr>
            </w:pPr>
            <w:r>
              <w:rPr>
                <w:rFonts w:cs="Arial" w:ascii="Arial" w:hAnsi="Arial"/>
              </w:rPr>
              <w:t>3,900</w:t>
            </w:r>
          </w:p>
        </w:tc>
      </w:tr>
    </w:tbl>
    <w:p>
      <w:pPr>
        <w:pStyle w:val="CIMContactAddress"/>
        <w:spacing w:lineRule="auto" w:line="240" w:before="0" w:after="0"/>
        <w:rPr>
          <w:rFonts w:ascii="Arial" w:hAnsi="Arial" w:cs="Arial"/>
        </w:rPr>
      </w:pPr>
      <w:r>
        <w:rPr>
          <w:rFonts w:cs="Arial" w:ascii="Arial" w:hAnsi="Arial"/>
        </w:rPr>
      </w:r>
    </w:p>
    <w:p>
      <w:pPr>
        <w:pStyle w:val="CIMContactAddress"/>
        <w:spacing w:lineRule="auto" w:line="240" w:before="0" w:after="0"/>
        <w:rPr>
          <w:rFonts w:ascii="Arial" w:hAnsi="Arial" w:cs="Arial"/>
        </w:rPr>
      </w:pPr>
      <w:r>
        <w:rPr>
          <w:rFonts w:cs="Arial" w:ascii="Arial" w:hAnsi="Arial"/>
        </w:rPr>
      </w:r>
    </w:p>
    <w:p>
      <w:pPr>
        <w:pStyle w:val="CIMContactAddress"/>
        <w:spacing w:lineRule="auto" w:line="240" w:before="0" w:after="0"/>
        <w:rPr>
          <w:rFonts w:ascii="Arial" w:hAnsi="Arial" w:cs="Arial"/>
        </w:rPr>
      </w:pPr>
      <w:r>
        <w:rPr>
          <w:rFonts w:cs="Arial" w:ascii="Arial" w:hAnsi="Arial"/>
        </w:rPr>
      </w:r>
    </w:p>
    <w:p>
      <w:pPr>
        <w:pStyle w:val="Normal"/>
        <w:rPr/>
      </w:pPr>
      <w:r>
        <w:rPr>
          <w:rFonts w:cs="Arial" w:ascii="Arial" w:hAnsi="Arial"/>
          <w:b/>
        </w:rPr>
        <w:t>Capital Cost Assumptions.</w:t>
      </w:r>
      <w:r>
        <w:rPr>
          <w:rFonts w:cs="Arial" w:ascii="Arial" w:hAnsi="Arial"/>
        </w:rPr>
        <w:t xml:space="preserve">  Estimated capital costs for the project are provided in the table below.  The amounts listed are subject to change prior to finalization of design, EPC Agreement, interconnect agreements, etc. Each Proposed Investor will have to make its own assumptions.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sz w:val="10"/>
        </w:rPr>
      </w:pPr>
      <w:r>
        <w:rPr>
          <w:rFonts w:cs="Arial" w:ascii="Arial" w:hAnsi="Arial"/>
          <w:sz w:val="10"/>
        </w:rPr>
      </w:r>
    </w:p>
    <w:tbl>
      <w:tblPr>
        <w:tblW w:w="8497" w:type="dxa"/>
        <w:jc w:val="start"/>
        <w:tblInd w:w="0" w:type="dxa"/>
        <w:tblLayout w:type="fixed"/>
        <w:tblCellMar>
          <w:top w:w="0" w:type="dxa"/>
          <w:start w:w="108" w:type="dxa"/>
          <w:bottom w:w="0" w:type="dxa"/>
          <w:end w:w="108" w:type="dxa"/>
        </w:tblCellMar>
      </w:tblPr>
      <w:tblGrid>
        <w:gridCol w:w="3348"/>
        <w:gridCol w:w="1620"/>
        <w:gridCol w:w="3529"/>
      </w:tblGrid>
      <w:tr>
        <w:trPr/>
        <w:tc>
          <w:tcPr>
            <w:tcW w:w="3348" w:type="dxa"/>
            <w:tcBorders>
              <w:top w:val="single" w:sz="12" w:space="0" w:color="000000"/>
              <w:bottom w:val="single" w:sz="2" w:space="0" w:color="000000"/>
            </w:tcBorders>
          </w:tcPr>
          <w:p>
            <w:pPr>
              <w:pStyle w:val="Normal"/>
              <w:spacing w:before="60" w:after="60"/>
              <w:jc w:val="center"/>
              <w:rPr>
                <w:rFonts w:ascii="Arial" w:hAnsi="Arial" w:cs="Arial"/>
                <w:b/>
              </w:rPr>
            </w:pPr>
            <w:r>
              <w:rPr>
                <w:rFonts w:cs="Arial" w:ascii="Arial" w:hAnsi="Arial"/>
                <w:b/>
              </w:rPr>
              <w:t>Category</w:t>
            </w:r>
          </w:p>
        </w:tc>
        <w:tc>
          <w:tcPr>
            <w:tcW w:w="1620" w:type="dxa"/>
            <w:tcBorders>
              <w:top w:val="single" w:sz="12" w:space="0" w:color="000000"/>
              <w:bottom w:val="single" w:sz="2" w:space="0" w:color="000000"/>
            </w:tcBorders>
          </w:tcPr>
          <w:p>
            <w:pPr>
              <w:pStyle w:val="Normal"/>
              <w:spacing w:before="60" w:after="60"/>
              <w:jc w:val="center"/>
              <w:rPr>
                <w:rFonts w:ascii="Arial" w:hAnsi="Arial" w:cs="Arial"/>
                <w:b/>
              </w:rPr>
            </w:pPr>
            <w:r>
              <w:rPr>
                <w:rFonts w:cs="Arial" w:ascii="Arial" w:hAnsi="Arial"/>
                <w:b/>
              </w:rPr>
              <w:t>Amount (‘000)</w:t>
            </w:r>
          </w:p>
        </w:tc>
        <w:tc>
          <w:tcPr>
            <w:tcW w:w="3529" w:type="dxa"/>
            <w:tcBorders>
              <w:top w:val="single" w:sz="12" w:space="0" w:color="000000"/>
              <w:bottom w:val="single" w:sz="2" w:space="0" w:color="000000"/>
            </w:tcBorders>
          </w:tcPr>
          <w:p>
            <w:pPr>
              <w:pStyle w:val="Normal"/>
              <w:spacing w:before="60" w:after="60"/>
              <w:jc w:val="center"/>
              <w:rPr>
                <w:rFonts w:ascii="Arial" w:hAnsi="Arial" w:cs="Arial"/>
                <w:b/>
              </w:rPr>
            </w:pPr>
            <w:r>
              <w:rPr>
                <w:rFonts w:cs="Arial" w:ascii="Arial" w:hAnsi="Arial"/>
                <w:b/>
              </w:rPr>
              <w:t>Assumptions</w:t>
            </w:r>
          </w:p>
        </w:tc>
      </w:tr>
      <w:tr>
        <w:trPr>
          <w:trHeight w:val="447" w:hRule="atLeast"/>
        </w:trPr>
        <w:tc>
          <w:tcPr>
            <w:tcW w:w="3348" w:type="dxa"/>
            <w:tcBorders/>
          </w:tcPr>
          <w:p>
            <w:pPr>
              <w:pStyle w:val="Normal"/>
              <w:spacing w:before="60" w:after="60"/>
              <w:rPr>
                <w:rFonts w:ascii="Arial" w:hAnsi="Arial" w:cs="Arial"/>
              </w:rPr>
            </w:pPr>
            <w:r>
              <w:rPr>
                <w:rFonts w:cs="Arial" w:ascii="Arial" w:hAnsi="Arial"/>
              </w:rPr>
              <w:t>EPC Turnkey Cost</w:t>
            </w:r>
          </w:p>
        </w:tc>
        <w:tc>
          <w:tcPr>
            <w:tcW w:w="1620" w:type="dxa"/>
            <w:tcBorders/>
          </w:tcPr>
          <w:p>
            <w:pPr>
              <w:pStyle w:val="Normal"/>
              <w:spacing w:before="60" w:after="60"/>
              <w:jc w:val="end"/>
              <w:rPr>
                <w:rFonts w:ascii="Arial" w:hAnsi="Arial" w:cs="Arial"/>
              </w:rPr>
            </w:pPr>
            <w:r>
              <w:rPr>
                <w:rFonts w:cs="Arial" w:ascii="Arial" w:hAnsi="Arial"/>
              </w:rPr>
              <w:t>$343,400</w:t>
            </w:r>
          </w:p>
        </w:tc>
        <w:tc>
          <w:tcPr>
            <w:tcW w:w="3529" w:type="dxa"/>
            <w:tcBorders/>
          </w:tcPr>
          <w:p>
            <w:pPr>
              <w:pStyle w:val="Normal"/>
              <w:spacing w:before="60" w:after="60"/>
              <w:rPr>
                <w:rFonts w:ascii="Arial" w:hAnsi="Arial" w:cs="Arial"/>
              </w:rPr>
            </w:pPr>
            <w:r>
              <w:rPr>
                <w:rFonts w:cs="Arial" w:ascii="Arial" w:hAnsi="Arial"/>
              </w:rPr>
              <w:t>Engineering, procurement and construction costs within the Site</w:t>
            </w:r>
          </w:p>
        </w:tc>
      </w:tr>
      <w:tr>
        <w:trPr/>
        <w:tc>
          <w:tcPr>
            <w:tcW w:w="3348" w:type="dxa"/>
            <w:tcBorders/>
          </w:tcPr>
          <w:p>
            <w:pPr>
              <w:pStyle w:val="Normal"/>
              <w:spacing w:before="60" w:after="60"/>
              <w:rPr>
                <w:rFonts w:ascii="Arial" w:hAnsi="Arial" w:cs="Arial"/>
              </w:rPr>
            </w:pPr>
            <w:r>
              <w:rPr>
                <w:rFonts w:cs="Arial" w:ascii="Arial" w:hAnsi="Arial"/>
              </w:rPr>
              <w:t>Balance of Plant Construction</w:t>
            </w:r>
          </w:p>
        </w:tc>
        <w:tc>
          <w:tcPr>
            <w:tcW w:w="1620" w:type="dxa"/>
            <w:tcBorders/>
          </w:tcPr>
          <w:p>
            <w:pPr>
              <w:pStyle w:val="Normal"/>
              <w:spacing w:before="60" w:after="60"/>
              <w:jc w:val="end"/>
              <w:rPr>
                <w:rFonts w:ascii="Arial" w:hAnsi="Arial" w:cs="Arial"/>
              </w:rPr>
            </w:pPr>
            <w:r>
              <w:rPr>
                <w:rFonts w:cs="Arial" w:ascii="Arial" w:hAnsi="Arial"/>
              </w:rPr>
              <w:t>$22,500</w:t>
            </w:r>
          </w:p>
        </w:tc>
        <w:tc>
          <w:tcPr>
            <w:tcW w:w="3529" w:type="dxa"/>
            <w:tcBorders/>
          </w:tcPr>
          <w:p>
            <w:pPr>
              <w:pStyle w:val="Normal"/>
              <w:spacing w:before="60" w:after="60"/>
              <w:rPr>
                <w:rFonts w:ascii="Arial" w:hAnsi="Arial" w:cs="Arial"/>
              </w:rPr>
            </w:pPr>
            <w:r>
              <w:rPr>
                <w:rFonts w:cs="Arial" w:ascii="Arial" w:hAnsi="Arial"/>
              </w:rPr>
              <w:t>All linears (gas, water, electricity) outside the Site, interconnection, transmission system upgrades, inlet air cooling and shop tools</w:t>
            </w:r>
          </w:p>
        </w:tc>
      </w:tr>
      <w:tr>
        <w:trPr/>
        <w:tc>
          <w:tcPr>
            <w:tcW w:w="3348" w:type="dxa"/>
            <w:tcBorders/>
          </w:tcPr>
          <w:p>
            <w:pPr>
              <w:pStyle w:val="Normal"/>
              <w:spacing w:before="60" w:after="60"/>
              <w:rPr>
                <w:rFonts w:ascii="Arial" w:hAnsi="Arial" w:cs="Arial"/>
              </w:rPr>
            </w:pPr>
            <w:r>
              <w:rPr>
                <w:rFonts w:cs="Arial" w:ascii="Arial" w:hAnsi="Arial"/>
              </w:rPr>
              <w:t>Development Costs</w:t>
            </w:r>
          </w:p>
        </w:tc>
        <w:tc>
          <w:tcPr>
            <w:tcW w:w="1620" w:type="dxa"/>
            <w:tcBorders/>
          </w:tcPr>
          <w:p>
            <w:pPr>
              <w:pStyle w:val="Normal"/>
              <w:spacing w:before="60" w:after="60"/>
              <w:jc w:val="end"/>
              <w:rPr>
                <w:rFonts w:ascii="Arial" w:hAnsi="Arial" w:cs="Arial"/>
              </w:rPr>
            </w:pPr>
            <w:r>
              <w:rPr>
                <w:rFonts w:cs="Arial" w:ascii="Arial" w:hAnsi="Arial"/>
              </w:rPr>
              <w:t>$58,247</w:t>
            </w:r>
          </w:p>
        </w:tc>
        <w:tc>
          <w:tcPr>
            <w:tcW w:w="3529" w:type="dxa"/>
            <w:tcBorders/>
          </w:tcPr>
          <w:p>
            <w:pPr>
              <w:pStyle w:val="Normal"/>
              <w:spacing w:before="60" w:after="60"/>
              <w:rPr>
                <w:rFonts w:ascii="Arial" w:hAnsi="Arial" w:cs="Arial"/>
              </w:rPr>
            </w:pPr>
            <w:r>
              <w:rPr>
                <w:rFonts w:cs="Arial" w:ascii="Arial" w:hAnsi="Arial"/>
              </w:rPr>
              <w:t>Preliminary engineering, permitting, legal fees, easements, title insurance, internal costs (salaries, travel, etc), ERCs, certain payments to Tejon and other third parties</w:t>
            </w:r>
          </w:p>
        </w:tc>
      </w:tr>
      <w:tr>
        <w:trPr/>
        <w:tc>
          <w:tcPr>
            <w:tcW w:w="3348" w:type="dxa"/>
            <w:tcBorders/>
          </w:tcPr>
          <w:p>
            <w:pPr>
              <w:pStyle w:val="Normal"/>
              <w:spacing w:before="60" w:after="60"/>
              <w:rPr>
                <w:rFonts w:ascii="Arial" w:hAnsi="Arial" w:cs="Arial"/>
              </w:rPr>
            </w:pPr>
            <w:r>
              <w:rPr>
                <w:rFonts w:cs="Arial" w:ascii="Arial" w:hAnsi="Arial"/>
              </w:rPr>
              <w:t>Financial Closing Fees</w:t>
            </w:r>
          </w:p>
        </w:tc>
        <w:tc>
          <w:tcPr>
            <w:tcW w:w="1620" w:type="dxa"/>
            <w:tcBorders/>
          </w:tcPr>
          <w:p>
            <w:pPr>
              <w:pStyle w:val="Normal"/>
              <w:spacing w:before="60" w:after="60"/>
              <w:jc w:val="end"/>
              <w:rPr>
                <w:rFonts w:ascii="Arial" w:hAnsi="Arial" w:cs="Arial"/>
              </w:rPr>
            </w:pPr>
            <w:r>
              <w:rPr>
                <w:rFonts w:cs="Arial" w:ascii="Arial" w:hAnsi="Arial"/>
              </w:rPr>
              <w:t>19,278</w:t>
            </w:r>
          </w:p>
        </w:tc>
        <w:tc>
          <w:tcPr>
            <w:tcW w:w="3529" w:type="dxa"/>
            <w:tcBorders/>
          </w:tcPr>
          <w:p>
            <w:pPr>
              <w:pStyle w:val="Normal"/>
              <w:spacing w:before="60" w:after="60"/>
              <w:rPr>
                <w:rFonts w:ascii="Arial" w:hAnsi="Arial" w:cs="Arial"/>
              </w:rPr>
            </w:pPr>
            <w:r>
              <w:rPr>
                <w:rFonts w:cs="Arial" w:ascii="Arial" w:hAnsi="Arial"/>
              </w:rPr>
              <w:t>Legal and financing fees, balance of payments to Tejon and Williamson Act contract cancellation penalties</w:t>
            </w:r>
          </w:p>
        </w:tc>
      </w:tr>
      <w:tr>
        <w:trPr/>
        <w:tc>
          <w:tcPr>
            <w:tcW w:w="3348" w:type="dxa"/>
            <w:tcBorders/>
          </w:tcPr>
          <w:p>
            <w:pPr>
              <w:pStyle w:val="Normal"/>
              <w:spacing w:before="60" w:after="60"/>
              <w:rPr>
                <w:rFonts w:ascii="Arial" w:hAnsi="Arial" w:cs="Arial"/>
              </w:rPr>
            </w:pPr>
            <w:r>
              <w:rPr>
                <w:rFonts w:cs="Arial" w:ascii="Arial" w:hAnsi="Arial"/>
              </w:rPr>
              <w:t>Pre-Commercial Operations Costs</w:t>
            </w:r>
          </w:p>
        </w:tc>
        <w:tc>
          <w:tcPr>
            <w:tcW w:w="1620" w:type="dxa"/>
            <w:tcBorders/>
          </w:tcPr>
          <w:p>
            <w:pPr>
              <w:pStyle w:val="Normal"/>
              <w:spacing w:before="60" w:after="60"/>
              <w:jc w:val="end"/>
              <w:rPr>
                <w:rFonts w:ascii="Arial" w:hAnsi="Arial" w:cs="Arial"/>
              </w:rPr>
            </w:pPr>
            <w:r>
              <w:rPr>
                <w:rFonts w:cs="Arial" w:ascii="Arial" w:hAnsi="Arial"/>
              </w:rPr>
              <w:t>$10,246</w:t>
            </w:r>
          </w:p>
        </w:tc>
        <w:tc>
          <w:tcPr>
            <w:tcW w:w="3529" w:type="dxa"/>
            <w:tcBorders/>
          </w:tcPr>
          <w:p>
            <w:pPr>
              <w:pStyle w:val="Normal"/>
              <w:spacing w:before="60" w:after="60"/>
              <w:rPr>
                <w:rFonts w:ascii="Arial" w:hAnsi="Arial" w:cs="Arial"/>
              </w:rPr>
            </w:pPr>
            <w:r>
              <w:rPr>
                <w:rFonts w:cs="Arial" w:ascii="Arial" w:hAnsi="Arial"/>
              </w:rPr>
              <w:t>Project management during construction, owner’s engineer during construction, Kern County Chief Building Officer and consultant, O&amp;M staff and personnel training, insurance and performance bond</w:t>
            </w:r>
          </w:p>
        </w:tc>
      </w:tr>
      <w:tr>
        <w:trPr/>
        <w:tc>
          <w:tcPr>
            <w:tcW w:w="3348" w:type="dxa"/>
            <w:tcBorders/>
          </w:tcPr>
          <w:p>
            <w:pPr>
              <w:pStyle w:val="Normal"/>
              <w:spacing w:before="60" w:after="60"/>
              <w:rPr>
                <w:rFonts w:ascii="Arial" w:hAnsi="Arial" w:cs="Arial"/>
              </w:rPr>
            </w:pPr>
            <w:r>
              <w:rPr>
                <w:rFonts w:cs="Arial" w:ascii="Arial" w:hAnsi="Arial"/>
              </w:rPr>
              <w:t>Sales and Use Tax</w:t>
            </w:r>
          </w:p>
        </w:tc>
        <w:tc>
          <w:tcPr>
            <w:tcW w:w="1620" w:type="dxa"/>
            <w:tcBorders/>
          </w:tcPr>
          <w:p>
            <w:pPr>
              <w:pStyle w:val="Normal"/>
              <w:spacing w:before="60" w:after="60"/>
              <w:jc w:val="end"/>
              <w:rPr>
                <w:rFonts w:ascii="Arial" w:hAnsi="Arial" w:cs="Arial"/>
              </w:rPr>
            </w:pPr>
            <w:r>
              <w:rPr>
                <w:rFonts w:cs="Arial" w:ascii="Arial" w:hAnsi="Arial"/>
              </w:rPr>
              <w:t>$19,896</w:t>
            </w:r>
          </w:p>
        </w:tc>
        <w:tc>
          <w:tcPr>
            <w:tcW w:w="3529" w:type="dxa"/>
            <w:tcBorders/>
          </w:tcPr>
          <w:p>
            <w:pPr>
              <w:pStyle w:val="Normal"/>
              <w:spacing w:before="60" w:after="60"/>
              <w:rPr>
                <w:rFonts w:ascii="Arial" w:hAnsi="Arial" w:cs="Arial"/>
              </w:rPr>
            </w:pPr>
            <w:r>
              <w:rPr>
                <w:rFonts w:cs="Arial" w:ascii="Arial" w:hAnsi="Arial"/>
              </w:rPr>
              <w:t>7.25% (Kern County sales tax rate) of 75% of EPC and Site preparation costs</w:t>
            </w:r>
          </w:p>
        </w:tc>
      </w:tr>
      <w:tr>
        <w:trPr/>
        <w:tc>
          <w:tcPr>
            <w:tcW w:w="3348" w:type="dxa"/>
            <w:tcBorders/>
          </w:tcPr>
          <w:p>
            <w:pPr>
              <w:pStyle w:val="Normal"/>
              <w:spacing w:before="60" w:after="60"/>
              <w:rPr>
                <w:rFonts w:ascii="Arial" w:hAnsi="Arial" w:cs="Arial"/>
              </w:rPr>
            </w:pPr>
            <w:r>
              <w:rPr>
                <w:rFonts w:cs="Arial" w:ascii="Arial" w:hAnsi="Arial"/>
              </w:rPr>
              <w:t>Contingency</w:t>
            </w:r>
          </w:p>
        </w:tc>
        <w:tc>
          <w:tcPr>
            <w:tcW w:w="1620" w:type="dxa"/>
            <w:tcBorders/>
          </w:tcPr>
          <w:p>
            <w:pPr>
              <w:pStyle w:val="Normal"/>
              <w:spacing w:before="60" w:after="60"/>
              <w:jc w:val="end"/>
              <w:rPr>
                <w:rFonts w:ascii="Arial" w:hAnsi="Arial" w:cs="Arial"/>
              </w:rPr>
            </w:pPr>
            <w:r>
              <w:rPr>
                <w:rFonts w:cs="Arial" w:ascii="Arial" w:hAnsi="Arial"/>
              </w:rPr>
              <w:t>$15,192</w:t>
            </w:r>
          </w:p>
        </w:tc>
        <w:tc>
          <w:tcPr>
            <w:tcW w:w="3529" w:type="dxa"/>
            <w:tcBorders/>
          </w:tcPr>
          <w:p>
            <w:pPr>
              <w:pStyle w:val="Normal"/>
              <w:snapToGrid w:val="false"/>
              <w:spacing w:before="60" w:after="60"/>
              <w:rPr>
                <w:rFonts w:ascii="Arial" w:hAnsi="Arial" w:cs="Arial"/>
              </w:rPr>
            </w:pPr>
            <w:r>
              <w:rPr>
                <w:rFonts w:cs="Arial" w:ascii="Arial" w:hAnsi="Arial"/>
              </w:rPr>
            </w:r>
          </w:p>
        </w:tc>
      </w:tr>
      <w:tr>
        <w:trPr/>
        <w:tc>
          <w:tcPr>
            <w:tcW w:w="3348" w:type="dxa"/>
            <w:tcBorders/>
          </w:tcPr>
          <w:p>
            <w:pPr>
              <w:pStyle w:val="EventArrow"/>
              <w:spacing w:before="60" w:after="60"/>
              <w:rPr>
                <w:rFonts w:ascii="Arial" w:hAnsi="Arial" w:cs="Arial"/>
                <w:kern w:val="0"/>
              </w:rPr>
            </w:pPr>
            <w:r>
              <w:rPr>
                <w:rFonts w:cs="Arial" w:ascii="Arial" w:hAnsi="Arial"/>
                <w:kern w:val="0"/>
              </w:rPr>
              <w:t>Total Pre-Financing Capital Costs</w:t>
            </w:r>
          </w:p>
        </w:tc>
        <w:tc>
          <w:tcPr>
            <w:tcW w:w="1620" w:type="dxa"/>
            <w:tcBorders/>
          </w:tcPr>
          <w:p>
            <w:pPr>
              <w:pStyle w:val="Normal"/>
              <w:spacing w:before="60" w:after="60"/>
              <w:jc w:val="end"/>
              <w:rPr>
                <w:rFonts w:ascii="Arial" w:hAnsi="Arial" w:cs="Arial"/>
              </w:rPr>
            </w:pPr>
            <w:r>
              <w:rPr>
                <w:rFonts w:cs="Arial" w:ascii="Arial" w:hAnsi="Arial"/>
                <w:b/>
              </w:rPr>
              <w:t>$488,759</w:t>
            </w:r>
          </w:p>
        </w:tc>
        <w:tc>
          <w:tcPr>
            <w:tcW w:w="3529" w:type="dxa"/>
            <w:tcBorders/>
          </w:tcPr>
          <w:p>
            <w:pPr>
              <w:pStyle w:val="Normal"/>
              <w:snapToGrid w:val="false"/>
              <w:spacing w:before="60" w:after="60"/>
              <w:rPr>
                <w:rFonts w:ascii="Arial" w:hAnsi="Arial" w:cs="Arial"/>
              </w:rPr>
            </w:pPr>
            <w:r>
              <w:rPr>
                <w:rFonts w:cs="Arial" w:ascii="Arial" w:hAnsi="Arial"/>
              </w:rPr>
            </w:r>
          </w:p>
        </w:tc>
      </w:tr>
      <w:tr>
        <w:trPr/>
        <w:tc>
          <w:tcPr>
            <w:tcW w:w="3348" w:type="dxa"/>
            <w:tcBorders/>
          </w:tcPr>
          <w:p>
            <w:pPr>
              <w:pStyle w:val="Normal"/>
              <w:spacing w:before="60" w:after="60"/>
              <w:rPr>
                <w:rFonts w:ascii="Arial" w:hAnsi="Arial" w:cs="Arial"/>
              </w:rPr>
            </w:pPr>
            <w:r>
              <w:rPr>
                <w:rFonts w:cs="Arial" w:ascii="Arial" w:hAnsi="Arial"/>
              </w:rPr>
              <w:t>Interest During Construction</w:t>
            </w:r>
          </w:p>
        </w:tc>
        <w:tc>
          <w:tcPr>
            <w:tcW w:w="1620" w:type="dxa"/>
            <w:tcBorders/>
          </w:tcPr>
          <w:p>
            <w:pPr>
              <w:pStyle w:val="Normal"/>
              <w:spacing w:before="60" w:after="60"/>
              <w:jc w:val="end"/>
              <w:rPr>
                <w:rFonts w:ascii="Arial" w:hAnsi="Arial" w:cs="Arial"/>
              </w:rPr>
            </w:pPr>
            <w:r>
              <w:rPr>
                <w:rFonts w:cs="Arial" w:ascii="Arial" w:hAnsi="Arial"/>
              </w:rPr>
              <w:t>$48,417</w:t>
            </w:r>
          </w:p>
        </w:tc>
        <w:tc>
          <w:tcPr>
            <w:tcW w:w="3529" w:type="dxa"/>
            <w:tcBorders/>
          </w:tcPr>
          <w:p>
            <w:pPr>
              <w:pStyle w:val="Normal"/>
              <w:spacing w:before="60" w:after="60"/>
              <w:rPr>
                <w:rFonts w:ascii="Arial" w:hAnsi="Arial" w:cs="Arial"/>
              </w:rPr>
            </w:pPr>
            <w:r>
              <w:rPr>
                <w:rFonts w:cs="Arial" w:ascii="Arial" w:hAnsi="Arial"/>
              </w:rPr>
              <w:t>24 months at 9.38%</w:t>
            </w:r>
          </w:p>
        </w:tc>
      </w:tr>
      <w:tr>
        <w:trPr/>
        <w:tc>
          <w:tcPr>
            <w:tcW w:w="3348" w:type="dxa"/>
            <w:tcBorders>
              <w:bottom w:val="single" w:sz="2" w:space="0" w:color="000000"/>
            </w:tcBorders>
          </w:tcPr>
          <w:p>
            <w:pPr>
              <w:pStyle w:val="Normal"/>
              <w:spacing w:before="60" w:after="60"/>
              <w:rPr>
                <w:rFonts w:ascii="Arial" w:hAnsi="Arial" w:cs="Arial"/>
                <w:b/>
              </w:rPr>
            </w:pPr>
            <w:r>
              <w:rPr>
                <w:rFonts w:cs="Arial" w:ascii="Arial" w:hAnsi="Arial"/>
                <w:b/>
              </w:rPr>
              <w:t>Total Capital Cost with IDC</w:t>
            </w:r>
          </w:p>
        </w:tc>
        <w:tc>
          <w:tcPr>
            <w:tcW w:w="1620" w:type="dxa"/>
            <w:tcBorders>
              <w:bottom w:val="single" w:sz="2" w:space="0" w:color="000000"/>
            </w:tcBorders>
          </w:tcPr>
          <w:p>
            <w:pPr>
              <w:pStyle w:val="Normal"/>
              <w:spacing w:before="60" w:after="60"/>
              <w:jc w:val="end"/>
              <w:rPr>
                <w:rFonts w:ascii="Arial" w:hAnsi="Arial" w:cs="Arial"/>
              </w:rPr>
            </w:pPr>
            <w:r>
              <w:rPr>
                <w:rFonts w:cs="Arial" w:ascii="Arial" w:hAnsi="Arial"/>
                <w:b/>
              </w:rPr>
              <w:t>$537,176</w:t>
            </w:r>
          </w:p>
        </w:tc>
        <w:tc>
          <w:tcPr>
            <w:tcW w:w="3529" w:type="dxa"/>
            <w:tcBorders>
              <w:bottom w:val="single" w:sz="2" w:space="0" w:color="000000"/>
            </w:tcBorders>
          </w:tcPr>
          <w:p>
            <w:pPr>
              <w:pStyle w:val="Normal"/>
              <w:snapToGrid w:val="false"/>
              <w:spacing w:before="60" w:after="60"/>
              <w:rPr>
                <w:rFonts w:ascii="Arial" w:hAnsi="Arial" w:cs="Arial"/>
              </w:rPr>
            </w:pPr>
            <w:r>
              <w:rPr>
                <w:rFonts w:cs="Arial" w:ascii="Arial" w:hAnsi="Arial"/>
              </w:rPr>
            </w:r>
          </w:p>
        </w:tc>
      </w:tr>
    </w:tbl>
    <w:p>
      <w:pPr>
        <w:pStyle w:val="CIMContactAddress"/>
        <w:spacing w:lineRule="auto" w:line="240" w:before="0" w:after="0"/>
        <w:rPr>
          <w:rFonts w:ascii="Arial" w:hAnsi="Arial" w:cs="Arial"/>
        </w:rPr>
      </w:pPr>
      <w:r>
        <w:rPr>
          <w:rFonts w:cs="Arial" w:ascii="Arial" w:hAnsi="Arial"/>
        </w:rPr>
      </w:r>
    </w:p>
    <w:p>
      <w:pPr>
        <w:pStyle w:val="CIMContactAddress"/>
        <w:spacing w:lineRule="auto" w:line="240" w:before="0" w:after="0"/>
        <w:rPr>
          <w:rFonts w:ascii="Arial" w:hAnsi="Arial" w:cs="Arial"/>
        </w:rPr>
      </w:pPr>
      <w:r>
        <w:rPr>
          <w:rFonts w:cs="Arial" w:ascii="Arial" w:hAnsi="Arial"/>
        </w:rPr>
      </w:r>
    </w:p>
    <w:p>
      <w:pPr>
        <w:pStyle w:val="EventArrow"/>
        <w:spacing w:before="0" w:after="0"/>
        <w:rPr>
          <w:rFonts w:ascii="Arial" w:hAnsi="Arial" w:cs="Arial"/>
          <w:b w:val="false"/>
          <w:kern w:val="0"/>
        </w:rPr>
      </w:pPr>
      <w:r>
        <w:rPr>
          <w:rFonts w:cs="Arial" w:ascii="Arial" w:hAnsi="Arial"/>
          <w:kern w:val="0"/>
        </w:rPr>
        <w:t>Costs To Be Incurred Through Financial Close</w:t>
      </w:r>
      <w:r>
        <w:rPr>
          <w:rFonts w:cs="Arial" w:ascii="Arial" w:hAnsi="Arial"/>
          <w:b w:val="false"/>
          <w:kern w:val="0"/>
        </w:rPr>
        <w:t xml:space="preserve">. </w:t>
      </w:r>
      <w:r>
        <w:rPr>
          <w:rFonts w:cs="Arial" w:ascii="Arial" w:hAnsi="Arial"/>
          <w:b w:val="false"/>
        </w:rPr>
        <w:t xml:space="preserve"> Estimated costs incurred by the Company or PEF through the expected  financial close date of December 31, 2000.  Estimates are subject to change.</w:t>
      </w:r>
    </w:p>
    <w:p>
      <w:pPr>
        <w:pStyle w:val="EventArrow"/>
        <w:spacing w:before="0" w:after="0"/>
        <w:rPr>
          <w:rFonts w:ascii="Arial" w:hAnsi="Arial" w:cs="Arial"/>
          <w:b w:val="false"/>
          <w:kern w:val="0"/>
          <w:sz w:val="10"/>
        </w:rPr>
      </w:pPr>
      <w:r>
        <w:rPr>
          <w:rFonts w:cs="Arial" w:ascii="Arial" w:hAnsi="Arial"/>
          <w:b w:val="false"/>
          <w:kern w:val="0"/>
          <w:sz w:val="10"/>
        </w:rPr>
      </w:r>
    </w:p>
    <w:tbl>
      <w:tblPr>
        <w:tblW w:w="6138" w:type="dxa"/>
        <w:jc w:val="start"/>
        <w:tblInd w:w="0" w:type="dxa"/>
        <w:tblLayout w:type="fixed"/>
        <w:tblCellMar>
          <w:top w:w="0" w:type="dxa"/>
          <w:start w:w="108" w:type="dxa"/>
          <w:bottom w:w="0" w:type="dxa"/>
          <w:end w:w="108" w:type="dxa"/>
        </w:tblCellMar>
      </w:tblPr>
      <w:tblGrid>
        <w:gridCol w:w="4158"/>
        <w:gridCol w:w="1980"/>
      </w:tblGrid>
      <w:tr>
        <w:trPr>
          <w:trHeight w:val="450" w:hRule="atLeast"/>
        </w:trPr>
        <w:tc>
          <w:tcPr>
            <w:tcW w:w="4158" w:type="dxa"/>
            <w:tcBorders>
              <w:top w:val="single" w:sz="12" w:space="0" w:color="000000"/>
              <w:bottom w:val="single" w:sz="2" w:space="0" w:color="000000"/>
            </w:tcBorders>
          </w:tcPr>
          <w:p>
            <w:pPr>
              <w:pStyle w:val="FCSSubLogoText"/>
              <w:keepNext w:val="false"/>
              <w:keepLines w:val="false"/>
              <w:spacing w:before="120" w:after="120"/>
              <w:rPr>
                <w:rFonts w:ascii="Arial" w:hAnsi="Arial" w:cs="Arial"/>
                <w:b/>
                <w:kern w:val="0"/>
              </w:rPr>
            </w:pPr>
            <w:r>
              <w:rPr>
                <w:rFonts w:cs="Arial" w:ascii="Arial" w:hAnsi="Arial"/>
                <w:b/>
                <w:kern w:val="0"/>
              </w:rPr>
              <w:t>Category</w:t>
            </w:r>
          </w:p>
        </w:tc>
        <w:tc>
          <w:tcPr>
            <w:tcW w:w="1980" w:type="dxa"/>
            <w:tcBorders>
              <w:top w:val="single" w:sz="12" w:space="0" w:color="000000"/>
              <w:bottom w:val="single" w:sz="2" w:space="0" w:color="000000"/>
            </w:tcBorders>
          </w:tcPr>
          <w:p>
            <w:pPr>
              <w:pStyle w:val="Normal"/>
              <w:spacing w:before="120" w:after="120"/>
              <w:jc w:val="center"/>
              <w:rPr>
                <w:rFonts w:ascii="Arial" w:hAnsi="Arial" w:cs="Arial"/>
                <w:b/>
              </w:rPr>
            </w:pPr>
            <w:r>
              <w:rPr>
                <w:rFonts w:cs="Arial" w:ascii="Arial" w:hAnsi="Arial"/>
                <w:b/>
              </w:rPr>
              <w:t>Amount (‘000)</w:t>
            </w:r>
          </w:p>
        </w:tc>
      </w:tr>
      <w:tr>
        <w:trPr/>
        <w:tc>
          <w:tcPr>
            <w:tcW w:w="4158" w:type="dxa"/>
            <w:tcBorders/>
          </w:tcPr>
          <w:p>
            <w:pPr>
              <w:pStyle w:val="Normal"/>
              <w:spacing w:before="120" w:after="120"/>
              <w:rPr>
                <w:rFonts w:ascii="Arial" w:hAnsi="Arial" w:cs="Arial"/>
              </w:rPr>
            </w:pPr>
            <w:r>
              <w:rPr>
                <w:rFonts w:cs="Arial" w:ascii="Arial" w:hAnsi="Arial"/>
              </w:rPr>
              <w:t xml:space="preserve">Development Costs </w:t>
            </w:r>
          </w:p>
        </w:tc>
        <w:tc>
          <w:tcPr>
            <w:tcW w:w="1980" w:type="dxa"/>
            <w:tcBorders/>
          </w:tcPr>
          <w:p>
            <w:pPr>
              <w:pStyle w:val="FCSSubLogoText"/>
              <w:keepNext w:val="false"/>
              <w:keepLines w:val="false"/>
              <w:spacing w:before="120" w:after="120"/>
              <w:rPr>
                <w:rFonts w:ascii="Arial" w:hAnsi="Arial" w:cs="Arial"/>
                <w:kern w:val="0"/>
              </w:rPr>
            </w:pPr>
            <w:r>
              <w:rPr>
                <w:rFonts w:cs="Arial" w:ascii="Arial" w:hAnsi="Arial"/>
                <w:kern w:val="0"/>
              </w:rPr>
              <w:t>$58,247*</w:t>
            </w:r>
          </w:p>
        </w:tc>
      </w:tr>
      <w:tr>
        <w:trPr/>
        <w:tc>
          <w:tcPr>
            <w:tcW w:w="4158" w:type="dxa"/>
            <w:tcBorders/>
          </w:tcPr>
          <w:p>
            <w:pPr>
              <w:pStyle w:val="CIMContactAddress"/>
              <w:spacing w:lineRule="auto" w:line="240" w:before="120" w:after="120"/>
              <w:rPr>
                <w:rFonts w:ascii="Arial" w:hAnsi="Arial" w:cs="Arial"/>
              </w:rPr>
            </w:pPr>
            <w:r>
              <w:rPr>
                <w:rFonts w:cs="Arial" w:ascii="Arial" w:hAnsi="Arial"/>
              </w:rPr>
              <w:t>Equipment Payments</w:t>
            </w:r>
          </w:p>
        </w:tc>
        <w:tc>
          <w:tcPr>
            <w:tcW w:w="1980" w:type="dxa"/>
            <w:tcBorders/>
          </w:tcPr>
          <w:p>
            <w:pPr>
              <w:pStyle w:val="Normal"/>
              <w:spacing w:before="120" w:after="120"/>
              <w:jc w:val="center"/>
              <w:rPr>
                <w:rFonts w:ascii="Arial" w:hAnsi="Arial" w:cs="Arial"/>
              </w:rPr>
            </w:pPr>
            <w:r>
              <w:rPr>
                <w:rFonts w:cs="Arial" w:ascii="Arial" w:hAnsi="Arial"/>
              </w:rPr>
              <w:t>$19,900*</w:t>
            </w:r>
          </w:p>
        </w:tc>
      </w:tr>
      <w:tr>
        <w:trPr/>
        <w:tc>
          <w:tcPr>
            <w:tcW w:w="4158" w:type="dxa"/>
            <w:tcBorders>
              <w:bottom w:val="single" w:sz="2" w:space="0" w:color="000000"/>
            </w:tcBorders>
          </w:tcPr>
          <w:p>
            <w:pPr>
              <w:pStyle w:val="EventArrow"/>
              <w:spacing w:before="120" w:after="120"/>
              <w:rPr>
                <w:rFonts w:ascii="Arial" w:hAnsi="Arial" w:cs="Arial"/>
                <w:kern w:val="0"/>
              </w:rPr>
            </w:pPr>
            <w:r>
              <w:rPr>
                <w:rFonts w:cs="Arial" w:ascii="Arial" w:hAnsi="Arial"/>
                <w:kern w:val="0"/>
              </w:rPr>
              <w:t>Total</w:t>
            </w:r>
          </w:p>
        </w:tc>
        <w:tc>
          <w:tcPr>
            <w:tcW w:w="1980" w:type="dxa"/>
            <w:tcBorders>
              <w:bottom w:val="single" w:sz="2" w:space="0" w:color="000000"/>
            </w:tcBorders>
          </w:tcPr>
          <w:p>
            <w:pPr>
              <w:pStyle w:val="Normal"/>
              <w:spacing w:before="120" w:after="120"/>
              <w:jc w:val="center"/>
              <w:rPr>
                <w:rFonts w:ascii="Arial" w:hAnsi="Arial" w:cs="Arial"/>
              </w:rPr>
            </w:pPr>
            <w:r>
              <w:rPr>
                <w:rFonts w:cs="Arial" w:ascii="Arial" w:hAnsi="Arial"/>
              </w:rPr>
              <w:t>$78,147*</w:t>
            </w:r>
          </w:p>
        </w:tc>
      </w:tr>
      <w:tr>
        <w:trPr>
          <w:trHeight w:val="468" w:hRule="atLeast"/>
        </w:trPr>
        <w:tc>
          <w:tcPr>
            <w:tcW w:w="4158" w:type="dxa"/>
            <w:tcBorders/>
          </w:tcPr>
          <w:p>
            <w:pPr>
              <w:pStyle w:val="Normal"/>
              <w:spacing w:before="120" w:after="0"/>
              <w:rPr>
                <w:rFonts w:ascii="Arial" w:hAnsi="Arial" w:cs="Arial"/>
              </w:rPr>
            </w:pPr>
            <w:r>
              <w:rPr>
                <w:rFonts w:cs="Arial" w:ascii="Arial" w:hAnsi="Arial"/>
              </w:rPr>
              <w:t>*Estimate</w:t>
            </w:r>
          </w:p>
        </w:tc>
        <w:tc>
          <w:tcPr>
            <w:tcW w:w="1980" w:type="dxa"/>
            <w:tcBorders/>
          </w:tcPr>
          <w:p>
            <w:pPr>
              <w:pStyle w:val="Normal"/>
              <w:snapToGrid w:val="false"/>
              <w:spacing w:before="120" w:after="0"/>
              <w:rPr>
                <w:rFonts w:ascii="Arial" w:hAnsi="Arial" w:cs="Arial"/>
              </w:rPr>
            </w:pPr>
            <w:r>
              <w:rPr>
                <w:rFonts w:cs="Arial" w:ascii="Arial" w:hAnsi="Arial"/>
              </w:rPr>
            </w:r>
          </w:p>
        </w:tc>
      </w:tr>
    </w:tbl>
    <w:p>
      <w:pPr>
        <w:pStyle w:val="CIMContactAddress"/>
        <w:spacing w:lineRule="auto" w:line="240" w:before="0" w:after="0"/>
        <w:rPr>
          <w:rFonts w:ascii="Arial" w:hAnsi="Arial" w:cs="Arial"/>
        </w:rPr>
      </w:pPr>
      <w:r>
        <w:rPr>
          <w:rFonts w:cs="Arial" w:ascii="Arial" w:hAnsi="Arial"/>
        </w:rPr>
      </w:r>
    </w:p>
    <w:p>
      <w:pPr>
        <w:pStyle w:val="CIMContactAddress"/>
        <w:spacing w:lineRule="auto" w:line="240" w:before="0" w:after="0"/>
        <w:rPr>
          <w:rFonts w:ascii="Arial" w:hAnsi="Arial" w:cs="Arial"/>
        </w:rPr>
      </w:pPr>
      <w:r>
        <w:rPr>
          <w:rFonts w:cs="Arial" w:ascii="Arial" w:hAnsi="Arial"/>
        </w:rPr>
      </w:r>
    </w:p>
    <w:p>
      <w:pPr>
        <w:pStyle w:val="Normal"/>
        <w:rPr/>
      </w:pPr>
      <w:r>
        <w:rPr>
          <w:rFonts w:cs="Arial" w:ascii="Arial" w:hAnsi="Arial"/>
          <w:b/>
        </w:rPr>
        <w:t>Operating Cost Assumptions.</w:t>
      </w:r>
      <w:r>
        <w:rPr>
          <w:rFonts w:cs="Arial" w:ascii="Arial" w:hAnsi="Arial"/>
        </w:rPr>
        <w:t xml:space="preserve">  Estimated annual operating costs for the project are provided in the table below.  Estimates are subject to change.  Each Proposed Investor will have to make its own assumptions.</w:t>
      </w:r>
    </w:p>
    <w:p>
      <w:pPr>
        <w:pStyle w:val="Normal"/>
        <w:rPr>
          <w:rFonts w:ascii="Arial" w:hAnsi="Arial" w:cs="Arial"/>
          <w:sz w:val="10"/>
        </w:rPr>
      </w:pPr>
      <w:r>
        <w:rPr>
          <w:rFonts w:cs="Arial" w:ascii="Arial" w:hAnsi="Arial"/>
          <w:sz w:val="10"/>
        </w:rPr>
      </w:r>
    </w:p>
    <w:tbl>
      <w:tblPr>
        <w:tblW w:w="8208" w:type="dxa"/>
        <w:jc w:val="start"/>
        <w:tblInd w:w="0" w:type="dxa"/>
        <w:tblLayout w:type="fixed"/>
        <w:tblCellMar>
          <w:top w:w="0" w:type="dxa"/>
          <w:start w:w="108" w:type="dxa"/>
          <w:bottom w:w="0" w:type="dxa"/>
          <w:end w:w="108" w:type="dxa"/>
        </w:tblCellMar>
      </w:tblPr>
      <w:tblGrid>
        <w:gridCol w:w="4158"/>
        <w:gridCol w:w="4050"/>
      </w:tblGrid>
      <w:tr>
        <w:trPr>
          <w:trHeight w:val="450" w:hRule="atLeast"/>
        </w:trPr>
        <w:tc>
          <w:tcPr>
            <w:tcW w:w="4158"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Category</w:t>
            </w:r>
          </w:p>
        </w:tc>
        <w:tc>
          <w:tcPr>
            <w:tcW w:w="4050"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Amount</w:t>
            </w:r>
          </w:p>
          <w:p>
            <w:pPr>
              <w:pStyle w:val="Normal"/>
              <w:jc w:val="center"/>
              <w:rPr>
                <w:rFonts w:ascii="Arial" w:hAnsi="Arial" w:cs="Arial"/>
                <w:b/>
              </w:rPr>
            </w:pPr>
            <w:r>
              <w:rPr>
                <w:rFonts w:cs="Arial" w:ascii="Arial" w:hAnsi="Arial"/>
                <w:b/>
              </w:rPr>
              <w:t>(‘000 except Maintenance Reserve)</w:t>
            </w:r>
          </w:p>
        </w:tc>
      </w:tr>
      <w:tr>
        <w:trPr/>
        <w:tc>
          <w:tcPr>
            <w:tcW w:w="4158" w:type="dxa"/>
            <w:tcBorders/>
          </w:tcPr>
          <w:p>
            <w:pPr>
              <w:pStyle w:val="Normal"/>
              <w:spacing w:before="100" w:after="60"/>
              <w:rPr>
                <w:rFonts w:ascii="Arial" w:hAnsi="Arial" w:cs="Arial"/>
              </w:rPr>
            </w:pPr>
            <w:r>
              <w:rPr>
                <w:rFonts w:cs="Arial" w:ascii="Arial" w:hAnsi="Arial"/>
              </w:rPr>
              <w:t>Maintenance Reserve (including chemicals)</w:t>
            </w:r>
          </w:p>
        </w:tc>
        <w:tc>
          <w:tcPr>
            <w:tcW w:w="4050" w:type="dxa"/>
            <w:tcBorders/>
          </w:tcPr>
          <w:p>
            <w:pPr>
              <w:pStyle w:val="Normal"/>
              <w:spacing w:before="100" w:after="60"/>
              <w:jc w:val="end"/>
              <w:rPr>
                <w:rFonts w:ascii="Arial" w:hAnsi="Arial" w:cs="Arial"/>
              </w:rPr>
            </w:pPr>
            <w:r>
              <w:rPr>
                <w:rFonts w:cs="Arial" w:ascii="Arial" w:hAnsi="Arial"/>
              </w:rPr>
              <w:t>$1.80 ($/MWh)</w:t>
            </w:r>
          </w:p>
        </w:tc>
      </w:tr>
      <w:tr>
        <w:trPr/>
        <w:tc>
          <w:tcPr>
            <w:tcW w:w="4158" w:type="dxa"/>
            <w:tcBorders/>
          </w:tcPr>
          <w:p>
            <w:pPr>
              <w:pStyle w:val="Normal"/>
              <w:spacing w:before="100" w:after="60"/>
              <w:rPr>
                <w:rFonts w:ascii="Arial" w:hAnsi="Arial" w:cs="Arial"/>
              </w:rPr>
            </w:pPr>
            <w:r>
              <w:rPr>
                <w:rFonts w:cs="Arial" w:ascii="Arial" w:hAnsi="Arial"/>
              </w:rPr>
              <w:t>Direct Labor</w:t>
            </w:r>
          </w:p>
        </w:tc>
        <w:tc>
          <w:tcPr>
            <w:tcW w:w="4050" w:type="dxa"/>
            <w:tcBorders/>
          </w:tcPr>
          <w:p>
            <w:pPr>
              <w:pStyle w:val="Normal"/>
              <w:spacing w:before="100" w:after="60"/>
              <w:jc w:val="end"/>
              <w:rPr>
                <w:rFonts w:ascii="Arial" w:hAnsi="Arial" w:cs="Arial"/>
              </w:rPr>
            </w:pPr>
            <w:r>
              <w:rPr>
                <w:rFonts w:cs="Arial" w:ascii="Arial" w:hAnsi="Arial"/>
              </w:rPr>
              <w:t>$2,400</w:t>
            </w:r>
          </w:p>
        </w:tc>
      </w:tr>
      <w:tr>
        <w:trPr/>
        <w:tc>
          <w:tcPr>
            <w:tcW w:w="4158" w:type="dxa"/>
            <w:tcBorders/>
          </w:tcPr>
          <w:p>
            <w:pPr>
              <w:pStyle w:val="Normal"/>
              <w:spacing w:before="100" w:after="60"/>
              <w:rPr>
                <w:rFonts w:ascii="Arial" w:hAnsi="Arial" w:cs="Arial"/>
              </w:rPr>
            </w:pPr>
            <w:r>
              <w:rPr>
                <w:rFonts w:cs="Arial" w:ascii="Arial" w:hAnsi="Arial"/>
              </w:rPr>
              <w:t>Water (fixed and variable)</w:t>
            </w:r>
          </w:p>
        </w:tc>
        <w:tc>
          <w:tcPr>
            <w:tcW w:w="4050" w:type="dxa"/>
            <w:tcBorders/>
          </w:tcPr>
          <w:p>
            <w:pPr>
              <w:pStyle w:val="Normal"/>
              <w:spacing w:before="100" w:after="60"/>
              <w:jc w:val="end"/>
              <w:rPr>
                <w:rFonts w:ascii="Arial" w:hAnsi="Arial" w:cs="Arial"/>
              </w:rPr>
            </w:pPr>
            <w:r>
              <w:rPr>
                <w:rFonts w:cs="Arial" w:ascii="Arial" w:hAnsi="Arial"/>
              </w:rPr>
              <w:t>$2,560</w:t>
            </w:r>
          </w:p>
        </w:tc>
      </w:tr>
      <w:tr>
        <w:trPr>
          <w:trHeight w:val="468" w:hRule="atLeast"/>
        </w:trPr>
        <w:tc>
          <w:tcPr>
            <w:tcW w:w="4158" w:type="dxa"/>
            <w:tcBorders/>
          </w:tcPr>
          <w:p>
            <w:pPr>
              <w:pStyle w:val="Normal"/>
              <w:spacing w:before="100" w:after="60"/>
              <w:rPr>
                <w:rFonts w:ascii="Arial" w:hAnsi="Arial" w:cs="Arial"/>
              </w:rPr>
            </w:pPr>
            <w:r>
              <w:rPr>
                <w:rFonts w:cs="Arial" w:ascii="Arial" w:hAnsi="Arial"/>
              </w:rPr>
              <w:t>Property Taxes</w:t>
            </w:r>
          </w:p>
        </w:tc>
        <w:tc>
          <w:tcPr>
            <w:tcW w:w="4050" w:type="dxa"/>
            <w:tcBorders/>
          </w:tcPr>
          <w:p>
            <w:pPr>
              <w:pStyle w:val="Normal"/>
              <w:spacing w:before="100" w:after="60"/>
              <w:jc w:val="end"/>
              <w:rPr>
                <w:rFonts w:ascii="Arial" w:hAnsi="Arial" w:cs="Arial"/>
              </w:rPr>
            </w:pPr>
            <w:r>
              <w:rPr>
                <w:rFonts w:cs="Arial" w:ascii="Arial" w:hAnsi="Arial"/>
              </w:rPr>
              <w:t>$3,146</w:t>
            </w:r>
          </w:p>
        </w:tc>
      </w:tr>
      <w:tr>
        <w:trPr/>
        <w:tc>
          <w:tcPr>
            <w:tcW w:w="4158" w:type="dxa"/>
            <w:tcBorders/>
          </w:tcPr>
          <w:p>
            <w:pPr>
              <w:pStyle w:val="Normal"/>
              <w:spacing w:before="100" w:after="60"/>
              <w:rPr>
                <w:rFonts w:ascii="Arial" w:hAnsi="Arial" w:cs="Arial"/>
              </w:rPr>
            </w:pPr>
            <w:r>
              <w:rPr>
                <w:rFonts w:cs="Arial" w:ascii="Arial" w:hAnsi="Arial"/>
              </w:rPr>
              <w:t>Tejon Lease</w:t>
            </w:r>
          </w:p>
        </w:tc>
        <w:tc>
          <w:tcPr>
            <w:tcW w:w="4050" w:type="dxa"/>
            <w:tcBorders/>
          </w:tcPr>
          <w:p>
            <w:pPr>
              <w:pStyle w:val="Normal"/>
              <w:spacing w:before="100" w:after="60"/>
              <w:jc w:val="end"/>
              <w:rPr>
                <w:rFonts w:ascii="Arial" w:hAnsi="Arial" w:cs="Arial"/>
              </w:rPr>
            </w:pPr>
            <w:r>
              <w:rPr>
                <w:rFonts w:cs="Arial" w:ascii="Arial" w:hAnsi="Arial"/>
              </w:rPr>
              <w:t>$2,600</w:t>
            </w:r>
          </w:p>
        </w:tc>
      </w:tr>
      <w:tr>
        <w:trPr/>
        <w:tc>
          <w:tcPr>
            <w:tcW w:w="4158" w:type="dxa"/>
            <w:tcBorders/>
          </w:tcPr>
          <w:p>
            <w:pPr>
              <w:pStyle w:val="CIMContactAddress"/>
              <w:spacing w:lineRule="auto" w:line="240" w:before="100" w:after="60"/>
              <w:rPr>
                <w:rFonts w:ascii="Arial" w:hAnsi="Arial" w:cs="Arial"/>
              </w:rPr>
            </w:pPr>
            <w:r>
              <w:rPr>
                <w:rFonts w:cs="Arial" w:ascii="Arial" w:hAnsi="Arial"/>
              </w:rPr>
              <w:t>Insurance</w:t>
            </w:r>
          </w:p>
        </w:tc>
        <w:tc>
          <w:tcPr>
            <w:tcW w:w="4050" w:type="dxa"/>
            <w:tcBorders/>
          </w:tcPr>
          <w:p>
            <w:pPr>
              <w:pStyle w:val="Normal"/>
              <w:spacing w:before="100" w:after="60"/>
              <w:jc w:val="end"/>
              <w:rPr>
                <w:rFonts w:ascii="Arial" w:hAnsi="Arial" w:cs="Arial"/>
              </w:rPr>
            </w:pPr>
            <w:r>
              <w:rPr>
                <w:rFonts w:cs="Arial" w:ascii="Arial" w:hAnsi="Arial"/>
              </w:rPr>
              <w:t>$2,080</w:t>
            </w:r>
          </w:p>
        </w:tc>
      </w:tr>
      <w:tr>
        <w:trPr/>
        <w:tc>
          <w:tcPr>
            <w:tcW w:w="4158" w:type="dxa"/>
            <w:tcBorders/>
          </w:tcPr>
          <w:p>
            <w:pPr>
              <w:pStyle w:val="Normal"/>
              <w:spacing w:before="100" w:after="60"/>
              <w:rPr>
                <w:rFonts w:ascii="Arial" w:hAnsi="Arial" w:cs="Arial"/>
              </w:rPr>
            </w:pPr>
            <w:r>
              <w:rPr>
                <w:rFonts w:cs="Arial" w:ascii="Arial" w:hAnsi="Arial"/>
              </w:rPr>
              <w:t>General &amp; Administrative</w:t>
            </w:r>
          </w:p>
        </w:tc>
        <w:tc>
          <w:tcPr>
            <w:tcW w:w="4050" w:type="dxa"/>
            <w:tcBorders/>
          </w:tcPr>
          <w:p>
            <w:pPr>
              <w:pStyle w:val="Normal"/>
              <w:spacing w:before="100" w:after="60"/>
              <w:jc w:val="end"/>
              <w:rPr>
                <w:rFonts w:ascii="Arial" w:hAnsi="Arial" w:cs="Arial"/>
              </w:rPr>
            </w:pPr>
            <w:r>
              <w:rPr>
                <w:rFonts w:cs="Arial" w:ascii="Arial" w:hAnsi="Arial"/>
              </w:rPr>
              <w:t>$95</w:t>
            </w:r>
          </w:p>
        </w:tc>
      </w:tr>
      <w:tr>
        <w:trPr/>
        <w:tc>
          <w:tcPr>
            <w:tcW w:w="4158" w:type="dxa"/>
            <w:tcBorders/>
          </w:tcPr>
          <w:p>
            <w:pPr>
              <w:pStyle w:val="Normal"/>
              <w:spacing w:before="100" w:after="60"/>
              <w:rPr>
                <w:rFonts w:ascii="Arial" w:hAnsi="Arial" w:cs="Arial"/>
              </w:rPr>
            </w:pPr>
            <w:r>
              <w:rPr>
                <w:rFonts w:cs="Arial" w:ascii="Arial" w:hAnsi="Arial"/>
              </w:rPr>
              <w:t>SCR/CO Catalyst</w:t>
            </w:r>
          </w:p>
        </w:tc>
        <w:tc>
          <w:tcPr>
            <w:tcW w:w="4050" w:type="dxa"/>
            <w:tcBorders/>
          </w:tcPr>
          <w:p>
            <w:pPr>
              <w:pStyle w:val="Normal"/>
              <w:spacing w:before="100" w:after="60"/>
              <w:jc w:val="end"/>
              <w:rPr>
                <w:rFonts w:ascii="Arial" w:hAnsi="Arial" w:cs="Arial"/>
              </w:rPr>
            </w:pPr>
            <w:r>
              <w:rPr>
                <w:rFonts w:cs="Arial" w:ascii="Arial" w:hAnsi="Arial"/>
              </w:rPr>
              <w:t>$1,500</w:t>
            </w:r>
          </w:p>
        </w:tc>
      </w:tr>
      <w:tr>
        <w:trPr/>
        <w:tc>
          <w:tcPr>
            <w:tcW w:w="4158" w:type="dxa"/>
            <w:tcBorders/>
          </w:tcPr>
          <w:p>
            <w:pPr>
              <w:pStyle w:val="Normal"/>
              <w:spacing w:before="100" w:after="60"/>
              <w:rPr>
                <w:rFonts w:ascii="Arial" w:hAnsi="Arial" w:cs="Arial"/>
              </w:rPr>
            </w:pPr>
            <w:r>
              <w:rPr>
                <w:rFonts w:cs="Arial" w:ascii="Arial" w:hAnsi="Arial"/>
              </w:rPr>
              <w:t>Asset Management Fee</w:t>
            </w:r>
          </w:p>
        </w:tc>
        <w:tc>
          <w:tcPr>
            <w:tcW w:w="4050" w:type="dxa"/>
            <w:tcBorders/>
          </w:tcPr>
          <w:p>
            <w:pPr>
              <w:pStyle w:val="Normal"/>
              <w:spacing w:before="100" w:after="60"/>
              <w:jc w:val="end"/>
              <w:rPr>
                <w:rFonts w:ascii="Arial" w:hAnsi="Arial" w:cs="Arial"/>
              </w:rPr>
            </w:pPr>
            <w:r>
              <w:rPr>
                <w:rFonts w:cs="Arial" w:ascii="Arial" w:hAnsi="Arial"/>
              </w:rPr>
              <w:t>$326</w:t>
            </w:r>
          </w:p>
        </w:tc>
      </w:tr>
      <w:tr>
        <w:trPr/>
        <w:tc>
          <w:tcPr>
            <w:tcW w:w="4158" w:type="dxa"/>
            <w:tcBorders/>
          </w:tcPr>
          <w:p>
            <w:pPr>
              <w:pStyle w:val="Normal"/>
              <w:spacing w:before="100" w:after="60"/>
              <w:rPr>
                <w:rFonts w:ascii="Arial" w:hAnsi="Arial" w:cs="Arial"/>
              </w:rPr>
            </w:pPr>
            <w:r>
              <w:rPr>
                <w:rFonts w:cs="Arial" w:ascii="Arial" w:hAnsi="Arial"/>
              </w:rPr>
              <w:t>Agency Fee (Term Debt)</w:t>
            </w:r>
          </w:p>
        </w:tc>
        <w:tc>
          <w:tcPr>
            <w:tcW w:w="4050" w:type="dxa"/>
            <w:tcBorders/>
          </w:tcPr>
          <w:p>
            <w:pPr>
              <w:pStyle w:val="Normal"/>
              <w:spacing w:before="100" w:after="60"/>
              <w:jc w:val="end"/>
              <w:rPr>
                <w:rFonts w:ascii="Arial" w:hAnsi="Arial" w:cs="Arial"/>
              </w:rPr>
            </w:pPr>
            <w:r>
              <w:rPr>
                <w:rFonts w:cs="Arial" w:ascii="Arial" w:hAnsi="Arial"/>
              </w:rPr>
              <w:t>$100</w:t>
            </w:r>
          </w:p>
        </w:tc>
      </w:tr>
      <w:tr>
        <w:trPr/>
        <w:tc>
          <w:tcPr>
            <w:tcW w:w="4158" w:type="dxa"/>
            <w:tcBorders/>
          </w:tcPr>
          <w:p>
            <w:pPr>
              <w:pStyle w:val="Normal"/>
              <w:spacing w:before="100" w:after="60"/>
              <w:rPr>
                <w:rFonts w:ascii="Arial" w:hAnsi="Arial" w:cs="Arial"/>
              </w:rPr>
            </w:pPr>
            <w:r>
              <w:rPr>
                <w:rFonts w:cs="Arial" w:ascii="Arial" w:hAnsi="Arial"/>
              </w:rPr>
              <w:t>O&amp;M Management Fee</w:t>
            </w:r>
          </w:p>
        </w:tc>
        <w:tc>
          <w:tcPr>
            <w:tcW w:w="4050" w:type="dxa"/>
            <w:tcBorders/>
          </w:tcPr>
          <w:p>
            <w:pPr>
              <w:pStyle w:val="Normal"/>
              <w:spacing w:before="100" w:after="60"/>
              <w:jc w:val="end"/>
              <w:rPr>
                <w:rFonts w:ascii="Arial" w:hAnsi="Arial" w:cs="Arial"/>
              </w:rPr>
            </w:pPr>
            <w:r>
              <w:rPr>
                <w:rFonts w:cs="Arial" w:ascii="Arial" w:hAnsi="Arial"/>
              </w:rPr>
              <w:t>$500</w:t>
            </w:r>
          </w:p>
        </w:tc>
      </w:tr>
      <w:tr>
        <w:trPr/>
        <w:tc>
          <w:tcPr>
            <w:tcW w:w="4158" w:type="dxa"/>
            <w:tcBorders/>
          </w:tcPr>
          <w:p>
            <w:pPr>
              <w:pStyle w:val="Normal"/>
              <w:spacing w:before="100" w:after="60"/>
              <w:rPr>
                <w:rFonts w:ascii="Arial" w:hAnsi="Arial" w:cs="Arial"/>
              </w:rPr>
            </w:pPr>
            <w:r>
              <w:rPr>
                <w:rFonts w:cs="Arial" w:ascii="Arial" w:hAnsi="Arial"/>
              </w:rPr>
              <w:t>Fuel Management Fee</w:t>
            </w:r>
          </w:p>
        </w:tc>
        <w:tc>
          <w:tcPr>
            <w:tcW w:w="4050" w:type="dxa"/>
            <w:tcBorders/>
          </w:tcPr>
          <w:p>
            <w:pPr>
              <w:pStyle w:val="Normal"/>
              <w:spacing w:before="100" w:after="60"/>
              <w:jc w:val="end"/>
              <w:rPr>
                <w:rFonts w:ascii="Arial" w:hAnsi="Arial" w:cs="Arial"/>
              </w:rPr>
            </w:pPr>
            <w:r>
              <w:rPr>
                <w:rFonts w:cs="Arial" w:ascii="Arial" w:hAnsi="Arial"/>
              </w:rPr>
              <w:t>$500</w:t>
            </w:r>
          </w:p>
        </w:tc>
      </w:tr>
      <w:tr>
        <w:trPr/>
        <w:tc>
          <w:tcPr>
            <w:tcW w:w="4158" w:type="dxa"/>
            <w:tcBorders/>
          </w:tcPr>
          <w:p>
            <w:pPr>
              <w:pStyle w:val="Normal"/>
              <w:spacing w:before="100" w:after="60"/>
              <w:rPr>
                <w:rFonts w:ascii="Arial" w:hAnsi="Arial" w:cs="Arial"/>
              </w:rPr>
            </w:pPr>
            <w:r>
              <w:rPr>
                <w:rFonts w:cs="Arial" w:ascii="Arial" w:hAnsi="Arial"/>
              </w:rPr>
              <w:t>Consumables</w:t>
            </w:r>
          </w:p>
        </w:tc>
        <w:tc>
          <w:tcPr>
            <w:tcW w:w="4050" w:type="dxa"/>
            <w:tcBorders/>
          </w:tcPr>
          <w:p>
            <w:pPr>
              <w:pStyle w:val="Normal"/>
              <w:spacing w:before="100" w:after="60"/>
              <w:jc w:val="end"/>
              <w:rPr>
                <w:rFonts w:ascii="Arial" w:hAnsi="Arial" w:cs="Arial"/>
              </w:rPr>
            </w:pPr>
            <w:r>
              <w:rPr>
                <w:rFonts w:cs="Arial" w:ascii="Arial" w:hAnsi="Arial"/>
              </w:rPr>
              <w:t>$1,000</w:t>
            </w:r>
          </w:p>
        </w:tc>
      </w:tr>
      <w:tr>
        <w:trPr/>
        <w:tc>
          <w:tcPr>
            <w:tcW w:w="4158" w:type="dxa"/>
            <w:tcBorders/>
          </w:tcPr>
          <w:p>
            <w:pPr>
              <w:pStyle w:val="CIMContactAddress"/>
              <w:spacing w:lineRule="auto" w:line="240" w:before="100" w:after="60"/>
              <w:rPr>
                <w:rFonts w:ascii="Arial" w:hAnsi="Arial" w:cs="Arial"/>
              </w:rPr>
            </w:pPr>
            <w:r>
              <w:rPr>
                <w:rFonts w:cs="Arial" w:ascii="Arial" w:hAnsi="Arial"/>
              </w:rPr>
              <w:t>Spark Spread Payment to Tejon</w:t>
            </w:r>
          </w:p>
        </w:tc>
        <w:tc>
          <w:tcPr>
            <w:tcW w:w="4050" w:type="dxa"/>
            <w:tcBorders/>
          </w:tcPr>
          <w:p>
            <w:pPr>
              <w:pStyle w:val="Normal"/>
              <w:spacing w:before="100" w:after="60"/>
              <w:jc w:val="end"/>
              <w:rPr>
                <w:rFonts w:ascii="Arial" w:hAnsi="Arial" w:cs="Arial"/>
              </w:rPr>
            </w:pPr>
            <w:r>
              <w:rPr>
                <w:rFonts w:cs="Arial" w:ascii="Arial" w:hAnsi="Arial"/>
              </w:rPr>
              <w:t>See Note below</w:t>
            </w:r>
          </w:p>
        </w:tc>
      </w:tr>
      <w:tr>
        <w:trPr/>
        <w:tc>
          <w:tcPr>
            <w:tcW w:w="4158" w:type="dxa"/>
            <w:tcBorders/>
          </w:tcPr>
          <w:p>
            <w:pPr>
              <w:pStyle w:val="Normal"/>
              <w:spacing w:before="100" w:after="60"/>
              <w:rPr>
                <w:rFonts w:ascii="Arial" w:hAnsi="Arial" w:cs="Arial"/>
              </w:rPr>
            </w:pPr>
            <w:r>
              <w:rPr>
                <w:rFonts w:cs="Arial" w:ascii="Arial" w:hAnsi="Arial"/>
              </w:rPr>
              <w:t>Miscellaneous</w:t>
            </w:r>
          </w:p>
        </w:tc>
        <w:tc>
          <w:tcPr>
            <w:tcW w:w="4050" w:type="dxa"/>
            <w:tcBorders/>
          </w:tcPr>
          <w:p>
            <w:pPr>
              <w:pStyle w:val="Normal"/>
              <w:spacing w:before="100" w:after="60"/>
              <w:jc w:val="end"/>
              <w:rPr>
                <w:rFonts w:ascii="Arial" w:hAnsi="Arial" w:cs="Arial"/>
              </w:rPr>
            </w:pPr>
            <w:r>
              <w:rPr>
                <w:rFonts w:cs="Arial" w:ascii="Arial" w:hAnsi="Arial"/>
              </w:rPr>
              <w:t>$150</w:t>
            </w:r>
          </w:p>
        </w:tc>
      </w:tr>
      <w:tr>
        <w:trPr/>
        <w:tc>
          <w:tcPr>
            <w:tcW w:w="4158" w:type="dxa"/>
            <w:tcBorders>
              <w:bottom w:val="single" w:sz="2" w:space="0" w:color="000000"/>
            </w:tcBorders>
          </w:tcPr>
          <w:p>
            <w:pPr>
              <w:pStyle w:val="EventArrow"/>
              <w:spacing w:before="240" w:after="60"/>
              <w:rPr>
                <w:rFonts w:ascii="Arial" w:hAnsi="Arial" w:cs="Arial"/>
                <w:kern w:val="0"/>
              </w:rPr>
            </w:pPr>
            <w:r>
              <w:rPr>
                <w:rFonts w:cs="Arial" w:ascii="Arial" w:hAnsi="Arial"/>
                <w:kern w:val="0"/>
              </w:rPr>
              <w:t>Total (not including Maintenance Reserve or Spark Spread Payment)</w:t>
            </w:r>
          </w:p>
        </w:tc>
        <w:tc>
          <w:tcPr>
            <w:tcW w:w="4050" w:type="dxa"/>
            <w:tcBorders>
              <w:bottom w:val="single" w:sz="2" w:space="0" w:color="000000"/>
            </w:tcBorders>
          </w:tcPr>
          <w:p>
            <w:pPr>
              <w:pStyle w:val="Normal"/>
              <w:spacing w:before="240" w:after="60"/>
              <w:jc w:val="end"/>
              <w:rPr>
                <w:rFonts w:ascii="Arial" w:hAnsi="Arial" w:cs="Arial"/>
                <w:b/>
              </w:rPr>
            </w:pPr>
            <w:r>
              <w:rPr>
                <w:rFonts w:cs="Arial" w:ascii="Arial" w:hAnsi="Arial"/>
                <w:b/>
              </w:rPr>
              <w:t>$17,457</w:t>
            </w:r>
          </w:p>
        </w:tc>
      </w:tr>
      <w:tr>
        <w:trPr/>
        <w:tc>
          <w:tcPr>
            <w:tcW w:w="8208" w:type="dxa"/>
            <w:gridSpan w:val="2"/>
            <w:tcBorders/>
          </w:tcPr>
          <w:p>
            <w:pPr>
              <w:pStyle w:val="Normal"/>
              <w:spacing w:before="120" w:after="0"/>
              <w:rPr>
                <w:rFonts w:ascii="Arial" w:hAnsi="Arial" w:cs="Arial"/>
                <w:b/>
              </w:rPr>
            </w:pPr>
            <w:r>
              <w:rPr>
                <w:rFonts w:cs="Arial" w:ascii="Arial" w:hAnsi="Arial"/>
                <w:i/>
              </w:rPr>
              <w:t>Note</w:t>
            </w:r>
            <w:r>
              <w:rPr>
                <w:rFonts w:cs="Arial" w:ascii="Arial" w:hAnsi="Arial"/>
              </w:rPr>
              <w:t>:</w:t>
            </w:r>
            <w:r>
              <w:rPr>
                <w:rFonts w:cs="Arial" w:ascii="Arial" w:hAnsi="Arial"/>
                <w:b/>
              </w:rPr>
              <w:t xml:space="preserve"> </w:t>
            </w:r>
            <w:r>
              <w:rPr>
                <w:rFonts w:cs="Arial" w:ascii="Arial" w:hAnsi="Arial"/>
              </w:rPr>
              <w:t>1% of the “spark spread” between PX energy prices and the price of gas at the California/Arizona border.</w:t>
            </w:r>
          </w:p>
        </w:tc>
      </w:tr>
    </w:tbl>
    <w:p>
      <w:pPr>
        <w:pStyle w:val="CIMContactAddress"/>
        <w:spacing w:lineRule="auto" w:line="240" w:before="0" w:after="0"/>
        <w:rPr>
          <w:rFonts w:ascii="Arial" w:hAnsi="Arial" w:cs="Arial"/>
        </w:rPr>
      </w:pPr>
      <w:r>
        <w:rPr>
          <w:rFonts w:cs="Arial" w:ascii="Arial" w:hAnsi="Arial"/>
        </w:rPr>
      </w:r>
    </w:p>
    <w:sectPr>
      <w:footerReference w:type="default" r:id="rId4"/>
      <w:footerReference w:type="first" r:id="rId5"/>
      <w:type w:val="nextPage"/>
      <w:pgSz w:w="12240" w:h="15840"/>
      <w:pgMar w:left="1800" w:right="1440" w:gutter="0" w:header="0" w:top="1440" w:footer="720" w:bottom="180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NewspaperPi BT">
    <w:altName w:val="Symbol"/>
    <w:charset w:val="02"/>
    <w:family w:val="roman"/>
    <w:pitch w:val="variable"/>
  </w:font>
  <w:font w:name="Liberation Sans">
    <w:altName w:val="Arial"/>
    <w:charset w:val="01" w:characterSet="utf-8"/>
    <w:family w:val="swiss"/>
    <w:pitch w:val="variable"/>
  </w:font>
  <w:font w:name="Palatino">
    <w:charset w:val="00" w:characterSet="windows-1252"/>
    <w:family w:val="roman"/>
    <w:pitch w:val="variable"/>
  </w:font>
  <w:font w:name="Stymie XBd BT">
    <w:altName w:val="Bookman Old Style"/>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12</w:t>
    </w:r>
    <w:r>
      <w:rPr>
        <w:rStyle w:val="PageNumber"/>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1</w:t>
    </w:r>
    <w:r>
      <w:rPr>
        <w:rStyle w:val="PageNumber"/>
        <w:rFonts w:cs="Arial"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3">
    <w:lvl w:ilvl="0">
      <w:start w:val="1"/>
      <w:numFmt w:val="bullet"/>
      <w:lvlText w:val=""/>
      <w:lvlJc w:val="start"/>
      <w:pPr>
        <w:tabs>
          <w:tab w:val="num" w:pos="2160"/>
        </w:tabs>
        <w:ind w:start="2160" w:hanging="360"/>
      </w:pPr>
      <w:rPr>
        <w:rFonts w:ascii="Symbol" w:hAnsi="Symbol" w:cs="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paragraph" w:styleId="Heading1">
    <w:name w:val="heading 1"/>
    <w:basedOn w:val="Normal"/>
    <w:next w:val="Normal"/>
    <w:qFormat/>
    <w:pPr>
      <w:keepNext w:val="true"/>
      <w:numPr>
        <w:ilvl w:val="0"/>
        <w:numId w:val="1"/>
      </w:numPr>
      <w:spacing w:before="120" w:after="120"/>
      <w:ind w:hanging="0" w:start="2052" w:end="0"/>
      <w:jc w:val="center"/>
      <w:outlineLvl w:val="0"/>
    </w:pPr>
    <w:rPr>
      <w:rFonts w:ascii="Arial" w:hAnsi="Arial" w:cs="Arial"/>
      <w:b/>
    </w:rPr>
  </w:style>
  <w:style w:type="character" w:styleId="WW8Num1z0">
    <w:name w:val="WW8Num1z0"/>
    <w:qFormat/>
    <w:rPr>
      <w:rFonts w:ascii="Symbol" w:hAnsi="Symbol" w:cs="Symbol"/>
    </w:rPr>
  </w:style>
  <w:style w:type="character" w:styleId="WW8Num3z0">
    <w:name w:val="WW8Num3z0"/>
    <w:qFormat/>
    <w:rPr>
      <w:rFonts w:ascii="Wingdings" w:hAnsi="Wingdings" w:cs="Wingdings"/>
      <w:b w:val="false"/>
      <w:i w:val="false"/>
      <w:color w:val="auto"/>
      <w:sz w:val="10"/>
      <w:u w:val="none"/>
      <w:vertAlign w:val="superscript"/>
    </w:rPr>
  </w:style>
  <w:style w:type="character" w:styleId="WW8Num4z0">
    <w:name w:val="WW8Num4z0"/>
    <w:qFormat/>
    <w:rPr>
      <w:rFonts w:ascii="Symbol" w:hAnsi="Symbol" w:cs="Symbol"/>
    </w:rPr>
  </w:style>
  <w:style w:type="character" w:styleId="WW8Num5z0">
    <w:name w:val="WW8Num5z0"/>
    <w:qFormat/>
    <w:rPr>
      <w:rFonts w:ascii="Wingdings" w:hAnsi="Wingdings" w:cs="Wingdings"/>
      <w:b w:val="false"/>
      <w:i w:val="false"/>
      <w:color w:val="auto"/>
      <w:sz w:val="10"/>
      <w:u w:val="none"/>
      <w:vertAlign w:val="superscript"/>
    </w:rPr>
  </w:style>
  <w:style w:type="character" w:styleId="WW8Num6z0">
    <w:name w:val="WW8Num6z0"/>
    <w:qFormat/>
    <w:rPr>
      <w:rFonts w:ascii="Wingdings" w:hAnsi="Wingdings" w:cs="Wingdings"/>
      <w:b w:val="false"/>
      <w:i w:val="false"/>
      <w:color w:val="auto"/>
      <w:sz w:val="10"/>
      <w:u w:val="none"/>
      <w:vertAlign w:val="superscript"/>
    </w:rPr>
  </w:style>
  <w:style w:type="character" w:styleId="WW8Num7z0">
    <w:name w:val="WW8Num7z0"/>
    <w:qFormat/>
    <w:rPr>
      <w:rFonts w:ascii="Symbol" w:hAnsi="Symbol" w:cs="Symbol"/>
    </w:rPr>
  </w:style>
  <w:style w:type="character" w:styleId="WW8Num8z0">
    <w:name w:val="WW8Num8z0"/>
    <w:qFormat/>
    <w:rPr>
      <w:rFonts w:ascii="Wingdings" w:hAnsi="Wingdings" w:cs="Wingdings"/>
    </w:rPr>
  </w:style>
  <w:style w:type="character" w:styleId="WW8Num9z0">
    <w:name w:val="WW8Num9z0"/>
    <w:qFormat/>
    <w:rPr>
      <w:rFonts w:ascii="Symbol" w:hAnsi="Symbol" w:cs="Symbol"/>
    </w:rPr>
  </w:style>
  <w:style w:type="character" w:styleId="WW8NumSt4z0">
    <w:name w:val="WW8NumSt4z0"/>
    <w:qFormat/>
    <w:rPr>
      <w:rFonts w:ascii="Symbol" w:hAnsi="Symbol" w:cs="Symbol"/>
    </w:rPr>
  </w:style>
  <w:style w:type="character" w:styleId="WW8NumSt5z0">
    <w:name w:val="WW8NumSt5z0"/>
    <w:qFormat/>
    <w:rPr>
      <w:rFonts w:ascii="NewspaperPi BT;Symbol" w:hAnsi="NewspaperPi BT;Symbol" w:cs="NewspaperPi BT;Symbol"/>
      <w:b w:val="false"/>
      <w:i w:val="false"/>
      <w:sz w:val="18"/>
    </w:rPr>
  </w:style>
  <w:style w:type="character" w:styleId="DefaultParagraphFont">
    <w:name w:val="Default Paragraph Font"/>
    <w:qFormat/>
    <w:rPr/>
  </w:style>
  <w:style w:type="character" w:styleId="PageNumber">
    <w:name w:val="page number"/>
    <w:basedOn w:val="DefaultParagraphFont"/>
    <w:rPr>
      <w:color w:val="auto"/>
      <w:kern w:val="2"/>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before="0" w:after="120"/>
      <w:jc w:val="both"/>
    </w:pPr>
    <w:rPr>
      <w:rFonts w:ascii="Arial" w:hAnsi="Arial" w:cs="Arial"/>
      <w:b/>
      <w:smallCaps/>
      <w:color w:val="800000"/>
      <w:spacing w:val="30"/>
      <w:sz w:val="22"/>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A0b">
    <w:name w:val="A:0:b"/>
    <w:basedOn w:val="Normal"/>
    <w:qFormat/>
    <w:pPr>
      <w:numPr>
        <w:ilvl w:val="0"/>
        <w:numId w:val="3"/>
      </w:numPr>
      <w:spacing w:before="100" w:after="100"/>
    </w:pPr>
    <w:rPr>
      <w:rFonts w:ascii="Arial" w:hAnsi="Arial" w:cs="Arial"/>
    </w:rPr>
  </w:style>
  <w:style w:type="paragraph" w:styleId="Sec0">
    <w:name w:val="Sec:0"/>
    <w:basedOn w:val="Normal"/>
    <w:next w:val="Normal"/>
    <w:qFormat/>
    <w:pPr>
      <w:pageBreakBefore/>
      <w:spacing w:before="0" w:after="360"/>
    </w:pPr>
    <w:rPr>
      <w:rFonts w:ascii="Arial" w:hAnsi="Arial" w:cs="Arial"/>
      <w:b/>
      <w:sz w:val="3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A0bbox">
    <w:name w:val="A:0:bbox"/>
    <w:basedOn w:val="Normal"/>
    <w:qFormat/>
    <w:pPr>
      <w:numPr>
        <w:ilvl w:val="0"/>
        <w:numId w:val="2"/>
      </w:numPr>
      <w:spacing w:before="100" w:after="100"/>
    </w:pPr>
    <w:rPr>
      <w:rFonts w:ascii="Arial" w:hAnsi="Arial" w:cs="Arial"/>
    </w:rPr>
  </w:style>
  <w:style w:type="paragraph" w:styleId="TableAdvColHd">
    <w:name w:val="TableAdv Col Hd"/>
    <w:qFormat/>
    <w:pPr>
      <w:keepNext w:val="true"/>
      <w:keepLines/>
      <w:widowControl/>
      <w:bidi w:val="0"/>
      <w:spacing w:before="0" w:after="120"/>
    </w:pPr>
    <w:rPr>
      <w:rFonts w:ascii="Arial" w:hAnsi="Arial" w:eastAsia="Times New Roman" w:cs="Arial"/>
      <w:b/>
      <w:color w:val="008000"/>
      <w:kern w:val="2"/>
      <w:sz w:val="32"/>
      <w:szCs w:val="20"/>
      <w:lang w:val="en-US" w:eastAsia="zh-CN" w:bidi="hi-IN"/>
    </w:rPr>
  </w:style>
  <w:style w:type="paragraph" w:styleId="TableDisColHd">
    <w:name w:val="TableDis Col Hd"/>
    <w:basedOn w:val="TableAdvColHd"/>
    <w:qFormat/>
    <w:pPr/>
    <w:rPr>
      <w:color w:val="800000"/>
    </w:rPr>
  </w:style>
  <w:style w:type="paragraph" w:styleId="TableImpColHd">
    <w:name w:val="TableImp Col Hd"/>
    <w:basedOn w:val="TableDisColHd"/>
    <w:qFormat/>
    <w:pPr/>
    <w:rPr>
      <w:color w:val="auto"/>
    </w:rPr>
  </w:style>
  <w:style w:type="paragraph" w:styleId="DLJCoverPage2">
    <w:name w:val="DLJ Cover Page 2"/>
    <w:qFormat/>
    <w:pPr>
      <w:widowControl/>
      <w:bidi w:val="0"/>
    </w:pPr>
    <w:rPr>
      <w:rFonts w:ascii="Palatino" w:hAnsi="Palatino" w:eastAsia="Times New Roman" w:cs="Palatino"/>
      <w:b/>
      <w:color w:val="auto"/>
      <w:sz w:val="28"/>
      <w:szCs w:val="20"/>
      <w:lang w:val="en-US" w:eastAsia="zh-CN" w:bidi="hi-IN"/>
    </w:rPr>
  </w:style>
  <w:style w:type="paragraph" w:styleId="EventArrow">
    <w:name w:val="Event Arrow"/>
    <w:qFormat/>
    <w:pPr>
      <w:widowControl/>
      <w:bidi w:val="0"/>
      <w:spacing w:before="60" w:after="0"/>
    </w:pPr>
    <w:rPr>
      <w:rFonts w:ascii="NewspaperPi BT;Symbol" w:hAnsi="NewspaperPi BT;Symbol" w:eastAsia="Times New Roman" w:cs="NewspaperPi BT;Symbol"/>
      <w:b/>
      <w:color w:val="auto"/>
      <w:kern w:val="2"/>
      <w:sz w:val="20"/>
      <w:szCs w:val="20"/>
      <w:lang w:val="en-US" w:eastAsia="zh-CN" w:bidi="hi-IN"/>
    </w:rPr>
  </w:style>
  <w:style w:type="paragraph" w:styleId="FCSSubLogoText">
    <w:name w:val="FCS Sub Logo Text"/>
    <w:qFormat/>
    <w:pPr>
      <w:keepNext w:val="true"/>
      <w:keepLines/>
      <w:widowControl/>
      <w:bidi w:val="0"/>
      <w:spacing w:before="120" w:after="120"/>
      <w:jc w:val="center"/>
    </w:pPr>
    <w:rPr>
      <w:rFonts w:ascii="Times New Roman" w:hAnsi="Times New Roman" w:eastAsia="Times New Roman" w:cs="Times New Roman"/>
      <w:color w:val="auto"/>
      <w:kern w:val="2"/>
      <w:sz w:val="20"/>
      <w:szCs w:val="20"/>
      <w:lang w:val="en-US" w:eastAsia="zh-CN" w:bidi="hi-IN"/>
    </w:rPr>
  </w:style>
  <w:style w:type="paragraph" w:styleId="CIMContactAddress">
    <w:name w:val="CIM Contact Address"/>
    <w:qFormat/>
    <w:pPr>
      <w:widowControl/>
      <w:bidi w:val="0"/>
      <w:spacing w:lineRule="atLeast" w:line="210" w:before="120" w:after="0"/>
    </w:pPr>
    <w:rPr>
      <w:rFonts w:ascii="Times New Roman" w:hAnsi="Times New Roman" w:eastAsia="Times New Roman" w:cs="Times New Roman"/>
      <w:color w:val="auto"/>
      <w:sz w:val="20"/>
      <w:szCs w:val="20"/>
      <w:lang w:val="en-US" w:eastAsia="zh-CN" w:bidi="hi-IN"/>
    </w:rPr>
  </w:style>
  <w:style w:type="paragraph" w:styleId="FooterUSPortrait">
    <w:name w:val="Footer US Portrait"/>
    <w:qFormat/>
    <w:pPr>
      <w:widowControl/>
      <w:tabs>
        <w:tab w:val="clear" w:pos="720"/>
        <w:tab w:val="right" w:pos="5760" w:leader="none"/>
        <w:tab w:val="right" w:pos="8496"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TOCTitle">
    <w:name w:val="TOC Title"/>
    <w:next w:val="TOC1"/>
    <w:qFormat/>
    <w:pPr>
      <w:pageBreakBefore/>
      <w:widowControl/>
      <w:bidi w:val="0"/>
      <w:spacing w:before="0" w:after="360"/>
      <w:ind w:hanging="0" w:start="-720" w:end="0"/>
    </w:pPr>
    <w:rPr>
      <w:rFonts w:ascii="Times New Roman" w:hAnsi="Times New Roman" w:eastAsia="Times New Roman" w:cs="Times New Roman"/>
      <w:b/>
      <w:smallCaps/>
      <w:color w:val="auto"/>
      <w:spacing w:val="20"/>
      <w:sz w:val="36"/>
      <w:szCs w:val="20"/>
      <w:lang w:val="en-US" w:eastAsia="zh-CN" w:bidi="hi-IN"/>
    </w:rPr>
  </w:style>
  <w:style w:type="paragraph" w:styleId="TOC1">
    <w:name w:val="toc 1"/>
    <w:basedOn w:val="Normal"/>
    <w:next w:val="Normal"/>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HeaderandFooter"/>
    <w:pPr>
      <w:suppressLineNumber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49</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2000-08-29T20:43:00Z</dcterms:created>
  <dc:creator>Jinsung Myung</dc:creator>
  <dc:description/>
  <dc:language>en-CA</dc:language>
  <cp:lastModifiedBy>Ben Rogers</cp:lastModifiedBy>
  <cp:lastPrinted>2000-08-29T18:57:00Z</cp:lastPrinted>
  <dcterms:modified xsi:type="dcterms:W3CDTF">2000-08-29T21:33:00Z</dcterms:modified>
  <cp:revision>17</cp:revision>
  <dc:subject/>
  <dc:title>Confidential Information Memorandum</dc:title>
</cp:coreProperties>
</file>