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77002-7327</w:t>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tc>
      </w:tr>
    </w:tbl>
    <w:p>
      <w:pPr>
        <w:pStyle w:val="Normal"/>
        <w:jc w:val="center"/>
        <w:rPr>
          <w:b/>
          <w:sz w:val="22"/>
        </w:rPr>
      </w:pPr>
      <w:r>
        <w:rPr>
          <w:b/>
          <w:sz w:val="22"/>
        </w:rPr>
        <w:t xml:space="preserve">CONFIRMATION </w:t>
      </w:r>
    </w:p>
    <w:p>
      <w:pPr>
        <w:pStyle w:val="Normal"/>
        <w:jc w:val="center"/>
        <w:rPr>
          <w:b/>
          <w:sz w:val="22"/>
        </w:rPr>
      </w:pPr>
      <w:r>
        <w:rPr>
          <w:b/>
          <w:sz w:val="22"/>
        </w:rPr>
      </w:r>
    </w:p>
    <w:p>
      <w:pPr>
        <w:pStyle w:val="Normal"/>
        <w:rPr>
          <w:b/>
          <w:sz w:val="22"/>
        </w:rPr>
      </w:pPr>
      <w:r>
        <w:rPr>
          <w:b/>
          <w:sz w:val="22"/>
        </w:rPr>
      </w:r>
    </w:p>
    <w:p>
      <w:pPr>
        <w:pStyle w:val="Normal"/>
        <w:rPr>
          <w:sz w:val="22"/>
        </w:rPr>
      </w:pPr>
      <w:r>
        <w:rPr>
          <w:sz w:val="22"/>
        </w:rPr>
        <w:t>Date:</w:t>
        <w:tab/>
        <w:tab/>
        <w:tab/>
        <w:tab/>
        <w:t>April 17, 2001</w:t>
      </w:r>
    </w:p>
    <w:p>
      <w:pPr>
        <w:pStyle w:val="Normal"/>
        <w:rPr>
          <w:sz w:val="22"/>
        </w:rPr>
      </w:pPr>
      <w:r>
        <w:rPr>
          <w:sz w:val="22"/>
        </w:rPr>
        <w:t>To:</w:t>
        <w:tab/>
        <w:tab/>
        <w:tab/>
        <w:tab/>
        <w:t>Consolidated Edison Company of New York, Inc. (“Counterparty”)</w:t>
      </w:r>
    </w:p>
    <w:p>
      <w:pPr>
        <w:pStyle w:val="Normal"/>
        <w:rPr>
          <w:sz w:val="22"/>
        </w:rPr>
      </w:pPr>
      <w:r>
        <w:rPr>
          <w:sz w:val="22"/>
        </w:rPr>
        <w:t>Attention:</w:t>
        <w:tab/>
        <w:tab/>
        <w:tab/>
        <w:t>Gary Razmus</w:t>
      </w:r>
    </w:p>
    <w:p>
      <w:pPr>
        <w:pStyle w:val="Normal"/>
        <w:rPr>
          <w:sz w:val="22"/>
        </w:rPr>
      </w:pPr>
      <w:r>
        <w:rPr>
          <w:sz w:val="22"/>
        </w:rPr>
        <w:t>Fax No.:</w:t>
        <w:tab/>
        <w:tab/>
        <w:tab/>
        <w:t>(212) 780-8723</w:t>
      </w:r>
    </w:p>
    <w:p>
      <w:pPr>
        <w:pStyle w:val="Normal"/>
        <w:rPr>
          <w:sz w:val="22"/>
        </w:rPr>
      </w:pPr>
      <w:r>
        <w:rPr>
          <w:sz w:val="22"/>
        </w:rPr>
        <w:t>From:</w:t>
        <w:tab/>
        <w:tab/>
        <w:tab/>
        <w:tab/>
        <w:t>Enron North America Corp. (“ENA”)</w:t>
      </w:r>
    </w:p>
    <w:p>
      <w:pPr>
        <w:pStyle w:val="Normal"/>
        <w:rPr>
          <w:sz w:val="22"/>
        </w:rPr>
      </w:pPr>
      <w:r>
        <w:rPr>
          <w:sz w:val="22"/>
        </w:rPr>
        <w:t>Re:</w:t>
        <w:tab/>
        <w:tab/>
        <w:tab/>
        <w:tab/>
        <w:t>50% Participating Swap</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Heading6"/>
        <w:ind w:hanging="0" w:start="0"/>
        <w:rPr>
          <w:sz w:val="22"/>
        </w:rPr>
      </w:pPr>
      <w:r>
        <w:rPr>
          <w:sz w:val="22"/>
        </w:rPr>
      </w:r>
    </w:p>
    <w:p>
      <w:pPr>
        <w:pStyle w:val="Normal"/>
        <w:rPr>
          <w:b/>
          <w:sz w:val="22"/>
          <w:u w:val="single"/>
        </w:rPr>
      </w:pPr>
      <w:r>
        <w:rPr>
          <w:b/>
          <w:sz w:val="22"/>
          <w:u w:val="single"/>
        </w:rPr>
      </w:r>
    </w:p>
    <w:p>
      <w:pPr>
        <w:pStyle w:val="Normal"/>
        <w:rPr/>
      </w:pPr>
      <w:r>
        <w:rPr/>
        <w:t>General Terms:</w:t>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t>____MWs per hour for each On-Peak Hour during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t>Electricity/MWh</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t>MWh (Megawatt hours)</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t>April __,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t>May 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t>October 31,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Each calendar month beginning with May 1, 2001 and ending on October 31, 2001.</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p>
            <w:pPr>
              <w:pStyle w:val="Normal"/>
              <w:rPr>
                <w:sz w:val="22"/>
              </w:rPr>
            </w:pPr>
            <w:r>
              <w:rPr>
                <w:sz w:val="22"/>
              </w:rPr>
            </w:r>
          </w:p>
        </w:tc>
        <w:tc>
          <w:tcPr>
            <w:tcW w:w="6102" w:type="dxa"/>
            <w:tcBorders/>
          </w:tcPr>
          <w:p>
            <w:pPr>
              <w:pStyle w:val="Normal"/>
              <w:jc w:val="both"/>
              <w:rPr/>
            </w:pPr>
            <w:r>
              <w:rPr>
                <w:sz w:val="22"/>
              </w:rPr>
              <w:t>The fifth (5</w:t>
            </w:r>
            <w:r>
              <w:rPr>
                <w:sz w:val="22"/>
                <w:vertAlign w:val="superscript"/>
              </w:rPr>
              <w:t>th</w:t>
            </w:r>
            <w:r>
              <w:rPr>
                <w:sz w:val="22"/>
              </w:rPr>
              <w:t>) Business Day following the date on which the Floating Price is determinable</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bl>
    <w:p>
      <w:pPr>
        <w:pStyle w:val="Normal"/>
        <w:jc w:val="both"/>
        <w:rPr>
          <w:sz w:val="22"/>
        </w:rPr>
      </w:pPr>
      <w:r>
        <w:rPr>
          <w:sz w:val="22"/>
        </w:rPr>
        <w:tab/>
        <w:t>Fixed Price Payor:</w:t>
        <w:tab/>
        <w:tab/>
        <w:tab/>
        <w:t>Counterparty</w:t>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p>
            <w:pPr>
              <w:pStyle w:val="Normal"/>
              <w:ind w:start="720" w:end="0"/>
              <w:rPr>
                <w:sz w:val="22"/>
              </w:rPr>
            </w:pPr>
            <w:r>
              <w:rPr>
                <w:sz w:val="22"/>
              </w:rPr>
            </w:r>
          </w:p>
          <w:p>
            <w:pPr>
              <w:pStyle w:val="Normal"/>
              <w:ind w:start="720" w:end="0"/>
              <w:rPr>
                <w:sz w:val="22"/>
              </w:rPr>
            </w:pPr>
            <w:r>
              <w:rPr>
                <w:sz w:val="22"/>
              </w:rPr>
              <w:t>Floating Price Payor:</w:t>
            </w:r>
          </w:p>
        </w:tc>
        <w:tc>
          <w:tcPr>
            <w:tcW w:w="6102" w:type="dxa"/>
            <w:tcBorders/>
          </w:tcPr>
          <w:p>
            <w:pPr>
              <w:pStyle w:val="Normal"/>
              <w:jc w:val="both"/>
              <w:rPr>
                <w:sz w:val="22"/>
              </w:rPr>
            </w:pPr>
            <w:r>
              <w:rPr>
                <w:sz w:val="22"/>
              </w:rPr>
              <w:t>$____</w:t>
            </w:r>
          </w:p>
          <w:p>
            <w:pPr>
              <w:pStyle w:val="Normal"/>
              <w:jc w:val="both"/>
              <w:rPr>
                <w:sz w:val="22"/>
              </w:rPr>
            </w:pPr>
            <w:r>
              <w:rPr>
                <w:sz w:val="22"/>
              </w:rPr>
            </w:r>
          </w:p>
          <w:p>
            <w:pPr>
              <w:pStyle w:val="Normal"/>
              <w:jc w:val="both"/>
              <w:rPr>
                <w:sz w:val="22"/>
              </w:rPr>
            </w:pPr>
            <w:r>
              <w:rPr>
                <w:sz w:val="22"/>
              </w:rPr>
              <w:t>ENA</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p>
            <w:pPr>
              <w:pStyle w:val="Normal"/>
              <w:ind w:start="720" w:end="0"/>
              <w:rPr>
                <w:sz w:val="22"/>
              </w:rPr>
            </w:pPr>
            <w:r>
              <w:rPr>
                <w:sz w:val="22"/>
              </w:rPr>
            </w:r>
          </w:p>
          <w:p>
            <w:pPr>
              <w:pStyle w:val="Normal"/>
              <w:ind w:start="720" w:end="0"/>
              <w:rPr>
                <w:sz w:val="22"/>
              </w:rPr>
            </w:pPr>
            <w:r>
              <w:rPr>
                <w:sz w:val="22"/>
              </w:rPr>
            </w:r>
          </w:p>
          <w:p>
            <w:pPr>
              <w:pStyle w:val="Normal"/>
              <w:ind w:start="720" w:end="0"/>
              <w:rPr>
                <w:sz w:val="22"/>
              </w:rPr>
            </w:pPr>
            <w:r>
              <w:rPr>
                <w:sz w:val="22"/>
              </w:rPr>
            </w:r>
          </w:p>
          <w:p>
            <w:pPr>
              <w:pStyle w:val="Normal"/>
              <w:ind w:start="720" w:end="0"/>
              <w:rPr>
                <w:sz w:val="22"/>
              </w:rPr>
            </w:pPr>
            <w:r>
              <w:rPr>
                <w:sz w:val="22"/>
              </w:rPr>
            </w:r>
          </w:p>
          <w:p>
            <w:pPr>
              <w:pStyle w:val="Normal"/>
              <w:ind w:start="720" w:end="0"/>
              <w:rPr>
                <w:sz w:val="22"/>
              </w:rPr>
            </w:pPr>
            <w:r>
              <w:rPr>
                <w:sz w:val="22"/>
              </w:rPr>
            </w:r>
          </w:p>
          <w:p>
            <w:pPr>
              <w:pStyle w:val="Normal"/>
              <w:ind w:start="720" w:end="0"/>
              <w:rPr>
                <w:sz w:val="22"/>
              </w:rPr>
            </w:pPr>
            <w:r>
              <w:rPr>
                <w:sz w:val="22"/>
              </w:rPr>
            </w:r>
          </w:p>
          <w:p>
            <w:pPr>
              <w:pStyle w:val="Normal"/>
              <w:ind w:start="720" w:end="0"/>
              <w:rPr>
                <w:sz w:val="22"/>
              </w:rPr>
            </w:pPr>
            <w:r>
              <w:rPr>
                <w:sz w:val="22"/>
              </w:rPr>
            </w:r>
          </w:p>
          <w:p>
            <w:pPr>
              <w:pStyle w:val="Normal"/>
              <w:ind w:start="720" w:end="0"/>
              <w:rPr>
                <w:sz w:val="22"/>
              </w:rPr>
            </w:pPr>
            <w:r>
              <w:rPr>
                <w:sz w:val="22"/>
              </w:rPr>
            </w:r>
          </w:p>
          <w:p>
            <w:pPr>
              <w:pStyle w:val="Normal"/>
              <w:ind w:start="720" w:end="0"/>
              <w:rPr>
                <w:sz w:val="22"/>
              </w:rPr>
            </w:pPr>
            <w:r>
              <w:rPr>
                <w:sz w:val="22"/>
              </w:rPr>
            </w:r>
          </w:p>
          <w:p>
            <w:pPr>
              <w:pStyle w:val="Normal"/>
              <w:rPr>
                <w:sz w:val="22"/>
              </w:rPr>
            </w:pPr>
            <w:r>
              <w:rPr>
                <w:sz w:val="22"/>
              </w:rPr>
            </w:r>
          </w:p>
          <w:p>
            <w:pPr>
              <w:pStyle w:val="Normal"/>
              <w:ind w:start="720" w:end="0"/>
              <w:rPr>
                <w:sz w:val="22"/>
              </w:rPr>
            </w:pPr>
            <w:r>
              <w:rPr>
                <w:sz w:val="22"/>
              </w:rPr>
            </w:r>
          </w:p>
          <w:p>
            <w:pPr>
              <w:pStyle w:val="Normal"/>
              <w:ind w:start="720" w:end="0"/>
              <w:rPr>
                <w:sz w:val="22"/>
              </w:rPr>
            </w:pPr>
            <w:r>
              <w:rPr>
                <w:sz w:val="22"/>
              </w:rPr>
            </w:r>
          </w:p>
          <w:p>
            <w:pPr>
              <w:pStyle w:val="Normal"/>
              <w:rPr>
                <w:sz w:val="22"/>
              </w:rPr>
            </w:pPr>
            <w:r>
              <w:rPr>
                <w:sz w:val="22"/>
              </w:rPr>
            </w:r>
          </w:p>
          <w:p>
            <w:pPr>
              <w:pStyle w:val="Normal"/>
              <w:rPr>
                <w:sz w:val="22"/>
              </w:rPr>
            </w:pPr>
            <w:r>
              <w:rPr>
                <w:sz w:val="22"/>
              </w:rPr>
              <w:t>Payment:</w:t>
            </w:r>
          </w:p>
        </w:tc>
        <w:tc>
          <w:tcPr>
            <w:tcW w:w="6102" w:type="dxa"/>
            <w:tcBorders/>
          </w:tcPr>
          <w:p>
            <w:pPr>
              <w:pStyle w:val="Normal"/>
              <w:rPr>
                <w:b/>
                <w:sz w:val="22"/>
              </w:rPr>
            </w:pPr>
            <w:r>
              <w:rPr>
                <w:sz w:val="22"/>
              </w:rPr>
              <w:t xml:space="preserve">The average of the hourly day-ahead prices as published by the New York Independent System Operator (the “NYISO”) on the last day of the month that includes the applicable Determination Period on the NYISO’s official web site currently located at </w:t>
            </w:r>
            <w:r>
              <w:rPr>
                <w:sz w:val="22"/>
                <w:u w:val="single"/>
              </w:rPr>
              <w:t>http://mis.nyiso.com/public/index.html</w:t>
            </w:r>
            <w:r>
              <w:rPr>
                <w:sz w:val="22"/>
              </w:rPr>
              <w:t xml:space="preserve">, or any successor thereto, under the headings “Day Ahead Market LBMP – Zonal; Zonal Prices; N.Y.C. (61761) for “On-Peak Hours” during the applicable Determination Period. </w:t>
            </w:r>
          </w:p>
          <w:p>
            <w:pPr>
              <w:pStyle w:val="Normal"/>
              <w:rPr>
                <w:b/>
                <w:sz w:val="22"/>
              </w:rPr>
            </w:pPr>
            <w:r>
              <w:rPr>
                <w:b/>
                <w:sz w:val="22"/>
              </w:rPr>
            </w:r>
          </w:p>
          <w:p>
            <w:pPr>
              <w:pStyle w:val="Normal"/>
              <w:jc w:val="both"/>
              <w:rPr/>
            </w:pPr>
            <w:r>
              <w:rPr/>
              <w:t>“</w:t>
            </w:r>
            <w:r>
              <w:rPr/>
              <w:t xml:space="preserve">On-Peak Hours” means the hours commencing HE 0800 through HE 2300 Eastern Prevailing Time, Monday through Friday (excluding holidays of the North American Electric Reliability Council). </w:t>
            </w:r>
          </w:p>
          <w:p>
            <w:pPr>
              <w:pStyle w:val="Normal"/>
              <w:jc w:val="both"/>
              <w:rPr/>
            </w:pPr>
            <w:r>
              <w:rPr/>
            </w:r>
          </w:p>
          <w:p>
            <w:pPr>
              <w:pStyle w:val="Normal"/>
              <w:jc w:val="both"/>
              <w:rPr>
                <w:sz w:val="22"/>
              </w:rPr>
            </w:pPr>
            <w:r>
              <w:rPr>
                <w:sz w:val="22"/>
              </w:rPr>
            </w:r>
          </w:p>
        </w:tc>
      </w:tr>
    </w:tbl>
    <w:p>
      <w:pPr>
        <w:pStyle w:val="BodyText2"/>
        <w:ind w:start="4320" w:end="0"/>
        <w:rPr/>
      </w:pPr>
      <w:r>
        <w:rPr/>
        <w:t xml:space="preserve">On the applicable Payment Date, payment  will be made as follows:  </w:t>
      </w:r>
    </w:p>
    <w:p>
      <w:pPr>
        <w:pStyle w:val="BodyText2"/>
        <w:ind w:start="4320" w:end="0"/>
        <w:rPr/>
      </w:pPr>
      <w:r>
        <w:rPr/>
      </w:r>
    </w:p>
    <w:p>
      <w:pPr>
        <w:pStyle w:val="BodyText2"/>
        <w:ind w:start="4320" w:end="0"/>
        <w:rPr/>
      </w:pPr>
      <w:r>
        <w:rPr/>
        <w:t>(1) if the Floating Price is greater than the Fixed Price, then the Floating Price Payor will pay the Fixed Price Payor the product of (i) the Notional Quantity per Determination Period and (ii) the excess of the Floating Price over the Fixed Price and (iii) 0.5, or</w:t>
      </w:r>
    </w:p>
    <w:p>
      <w:pPr>
        <w:pStyle w:val="Normal"/>
        <w:rPr>
          <w:bCs/>
          <w:sz w:val="22"/>
        </w:rPr>
      </w:pPr>
      <w:r>
        <w:rPr>
          <w:bCs/>
          <w:sz w:val="22"/>
        </w:rPr>
      </w:r>
    </w:p>
    <w:p>
      <w:pPr>
        <w:pStyle w:val="BodyTextIndent"/>
        <w:rPr/>
      </w:pPr>
      <w:r>
        <w:rPr/>
        <w:t>(2) if the Fixed Price is greater than the Floating Price, then the Fixed Price Payor will pay the Floating Price Payor the product of (i) the Notional Quantity per Determination Period and (ii) the excess of the Fixed Price over the Floating Price or</w:t>
      </w:r>
    </w:p>
    <w:p>
      <w:pPr>
        <w:pStyle w:val="BodyTextIndent"/>
        <w:rPr/>
      </w:pPr>
      <w:r>
        <w:rPr/>
      </w:r>
    </w:p>
    <w:p>
      <w:pPr>
        <w:pStyle w:val="BodyTextIndent"/>
        <w:rPr/>
      </w:pPr>
      <w:r>
        <w:rPr/>
        <w:t>(3) if the Fixed Price is equal to the Floating Price, then neither party makes a payment.</w:t>
      </w:r>
    </w:p>
    <w:p>
      <w:pPr>
        <w:pStyle w:val="Normal"/>
        <w:rPr>
          <w:b/>
          <w:sz w:val="22"/>
          <w:u w:val="single"/>
        </w:rPr>
      </w:pPr>
      <w:r>
        <w:rPr>
          <w:b/>
          <w:sz w:val="22"/>
          <w:u w:val="single"/>
        </w:rPr>
      </w:r>
    </w:p>
    <w:p>
      <w:pPr>
        <w:pStyle w:val="Normal"/>
        <w:rPr>
          <w:b/>
          <w:sz w:val="22"/>
        </w:rPr>
      </w:pPr>
      <w:r>
        <w:rPr>
          <w:b/>
          <w:sz w:val="22"/>
        </w:rPr>
        <w:t>Contractual Currency:</w:t>
        <w:tab/>
        <w:tab/>
        <w:tab/>
      </w:r>
      <w:r>
        <w:rPr>
          <w:sz w:val="22"/>
        </w:rPr>
        <w:t>US Dollars</w:t>
      </w:r>
    </w:p>
    <w:p>
      <w:pPr>
        <w:pStyle w:val="Normal"/>
        <w:rPr>
          <w:b/>
          <w:sz w:val="22"/>
        </w:rPr>
      </w:pPr>
      <w:r>
        <w:rPr>
          <w:b/>
          <w:sz w:val="22"/>
        </w:rPr>
      </w:r>
    </w:p>
    <w:p>
      <w:pPr>
        <w:pStyle w:val="Normal"/>
        <w:jc w:val="both"/>
        <w:rPr/>
      </w:pPr>
      <w:r>
        <w:rPr>
          <w:b/>
          <w:sz w:val="22"/>
        </w:rPr>
        <w:t>Governing Law:</w:t>
      </w:r>
      <w:r>
        <w:rPr>
          <w:sz w:val="22"/>
        </w:rPr>
        <w:tab/>
        <w:tab/>
        <w:tab/>
        <w:tab/>
        <w:t>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 Annex B, Annex B-1 and Annex B-2</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sz w:val="22"/>
        </w:rPr>
      </w:pPr>
      <w:r>
        <w:rPr>
          <w:sz w:val="22"/>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Enron North America Corp.</w:t>
            </w:r>
          </w:p>
        </w:tc>
        <w:tc>
          <w:tcPr>
            <w:tcW w:w="6012" w:type="dxa"/>
            <w:tcBorders/>
          </w:tcPr>
          <w:p>
            <w:pPr>
              <w:pStyle w:val="Normal"/>
              <w:rPr>
                <w:sz w:val="22"/>
              </w:rPr>
            </w:pPr>
            <w:r>
              <w:rPr>
                <w:sz w:val="22"/>
              </w:rPr>
              <w:t>Consolidated Edison Company of New York,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_____________________</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 ___________________</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____________________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Date: ____________________</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1400 Smith Street</w:t>
            </w:r>
          </w:p>
        </w:tc>
        <w:tc>
          <w:tcPr>
            <w:tcW w:w="4932" w:type="dxa"/>
            <w:tcBorders/>
          </w:tcPr>
          <w:p>
            <w:pPr>
              <w:pStyle w:val="Normal"/>
              <w:rPr>
                <w:sz w:val="22"/>
              </w:rPr>
            </w:pPr>
            <w:r>
              <w:rPr>
                <w:sz w:val="22"/>
              </w:rPr>
              <w:t>Wire Transfer to: 111000012</w:t>
            </w:r>
          </w:p>
        </w:tc>
      </w:tr>
      <w:tr>
        <w:trPr/>
        <w:tc>
          <w:tcPr>
            <w:tcW w:w="5508" w:type="dxa"/>
            <w:tcBorders/>
          </w:tcPr>
          <w:p>
            <w:pPr>
              <w:pStyle w:val="Normal"/>
              <w:rPr>
                <w:sz w:val="22"/>
              </w:rPr>
            </w:pPr>
            <w:r>
              <w:rPr>
                <w:sz w:val="22"/>
              </w:rPr>
              <w:t>Houston, TX  77002</w:t>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ABA Routing No. NationsBank of Texas, N.A.</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 xml:space="preserve">COUNTERPARTY: PLEASE PROVIDE ABOVE REQUESTED INFORMATION IF NOT PROVIDED </w:t>
      </w:r>
    </w:p>
    <w:p>
      <w:pPr>
        <w:pStyle w:val="Normal"/>
        <w:rPr>
          <w:b/>
          <w:sz w:val="22"/>
        </w:rPr>
      </w:pPr>
      <w:r>
        <w:rPr>
          <w:b/>
          <w:sz w:val="22"/>
        </w:rPr>
        <w:t>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b/>
      </w:rPr>
      <w:t>DRAFT</w:t>
    </w: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b/>
      <w:sz w:val="22"/>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2">
    <w:name w:val="Body Text 2"/>
    <w:basedOn w:val="Normal"/>
    <w:qFormat/>
    <w:pPr/>
    <w:rPr>
      <w:sz w:val="22"/>
    </w:rPr>
  </w:style>
  <w:style w:type="paragraph" w:styleId="BodyTextIndent">
    <w:name w:val="Body Text Indent"/>
    <w:basedOn w:val="Normal"/>
    <w:pPr>
      <w:ind w:hanging="0" w:start="4320" w:end="0"/>
    </w:pPr>
    <w:rPr>
      <w:bC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2001-04-17T17:47:00Z</dcterms:created>
  <dc:creator>ECT</dc:creator>
  <dc:description/>
  <dc:language>en-CA</dc:language>
  <cp:lastModifiedBy>sshackl</cp:lastModifiedBy>
  <cp:lastPrinted>2001-04-18T13:32:00Z</cp:lastPrinted>
  <dcterms:modified xsi:type="dcterms:W3CDTF">2001-04-18T16:08:00Z</dcterms:modified>
  <cp:revision>10</cp:revision>
  <dc:subject/>
  <dc:title/>
</cp:coreProperties>
</file>