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77002-7327</w:t>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r>
    </w:p>
    <w:p>
      <w:pPr>
        <w:pStyle w:val="Normal"/>
        <w:rPr>
          <w:b/>
          <w:sz w:val="22"/>
        </w:rPr>
      </w:pPr>
      <w:r>
        <w:rPr>
          <w:b/>
          <w:sz w:val="22"/>
        </w:rPr>
      </w:r>
    </w:p>
    <w:p>
      <w:pPr>
        <w:pStyle w:val="Normal"/>
        <w:rPr>
          <w:sz w:val="22"/>
        </w:rPr>
      </w:pPr>
      <w:r>
        <w:rPr>
          <w:sz w:val="22"/>
        </w:rPr>
        <w:t>Date:</w:t>
        <w:tab/>
        <w:tab/>
        <w:tab/>
        <w:tab/>
        <w:t>April 17,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Gary Razmus</w:t>
      </w:r>
    </w:p>
    <w:p>
      <w:pPr>
        <w:pStyle w:val="Normal"/>
        <w:rPr>
          <w:sz w:val="22"/>
        </w:rPr>
      </w:pPr>
      <w:r>
        <w:rPr>
          <w:sz w:val="22"/>
        </w:rPr>
        <w:t>Fax No.:</w:t>
        <w:tab/>
        <w:tab/>
        <w:tab/>
        <w:t>(212) 780-8723</w:t>
      </w:r>
    </w:p>
    <w:p>
      <w:pPr>
        <w:pStyle w:val="Normal"/>
        <w:rPr>
          <w:sz w:val="22"/>
        </w:rPr>
      </w:pPr>
      <w:r>
        <w:rPr>
          <w:sz w:val="22"/>
        </w:rPr>
        <w:t>From:</w:t>
        <w:tab/>
        <w:tab/>
        <w:tab/>
        <w:tab/>
        <w:t>Enron North America Corp. (“ENA”)</w:t>
      </w:r>
    </w:p>
    <w:p>
      <w:pPr>
        <w:pStyle w:val="Normal"/>
        <w:rPr>
          <w:sz w:val="22"/>
        </w:rPr>
      </w:pPr>
      <w:r>
        <w:rPr>
          <w:sz w:val="22"/>
        </w:rPr>
        <w:t>Re:</w:t>
        <w:tab/>
        <w:tab/>
        <w:tab/>
        <w:tab/>
        <w:t>50% Participating Swap</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Heading6"/>
        <w:ind w:hanging="0" w:start="0"/>
        <w:rPr/>
      </w:pPr>
      <w:r>
        <w:rPr/>
        <w:t>Part I  (Swap)</w:t>
      </w:r>
    </w:p>
    <w:p>
      <w:pPr>
        <w:pStyle w:val="Normal"/>
        <w:rPr>
          <w:b/>
          <w:sz w:val="22"/>
          <w:u w:val="single"/>
        </w:rPr>
      </w:pPr>
      <w:r>
        <w:rPr>
          <w:b/>
          <w:sz w:val="22"/>
          <w:u w:val="single"/>
        </w:rPr>
      </w:r>
    </w:p>
    <w:p>
      <w:pPr>
        <w:pStyle w:val="Normal"/>
        <w:rPr/>
      </w:pPr>
      <w:r>
        <w:rPr/>
        <w:t>General Terms:</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____MWs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Electricity/MWh</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MWh (Megawatt hours)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April __,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May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October 31,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May 1, 2001 and Ending on October 31,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w:t>
            </w:r>
          </w:p>
        </w:tc>
      </w:tr>
    </w:tbl>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t>Counterparty</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t>$____</w:t>
            </w:r>
          </w:p>
        </w:tc>
      </w:tr>
    </w:tbl>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t>ENA</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rPr>
                <w:b/>
                <w:sz w:val="22"/>
              </w:rPr>
            </w:pPr>
            <w:r>
              <w:rPr>
                <w:sz w:val="22"/>
              </w:rPr>
              <w:t xml:space="preserve">The average of 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xml:space="preserve">, or any successor thereto, under the headings “Day Ahead Market LBMP – Zonal; Zonal Prices; N.Y.C. (61761) for “On-Peak Hours” during the applicable Determination Period. </w:t>
            </w:r>
          </w:p>
          <w:p>
            <w:pPr>
              <w:pStyle w:val="Normal"/>
              <w:rPr>
                <w:b/>
                <w:sz w:val="22"/>
              </w:rPr>
            </w:pPr>
            <w:r>
              <w:rPr>
                <w:b/>
                <w:sz w:val="22"/>
              </w:rPr>
            </w:r>
          </w:p>
          <w:p>
            <w:pPr>
              <w:pStyle w:val="Normal"/>
              <w:jc w:val="both"/>
              <w:rPr>
                <w:sz w:val="22"/>
              </w:rPr>
            </w:pPr>
            <w:r>
              <w:rPr/>
              <w:t>“</w:t>
            </w:r>
            <w:r>
              <w:rPr/>
              <w:t xml:space="preserve">On-Peak Hours” means the hours commencing HE 0800 through HE 2300 Eastern Prevailing Time, Monday through Friday (excluding holidays of the North American Electric Reliability Council). </w:t>
            </w:r>
          </w:p>
        </w:tc>
      </w:tr>
    </w:tbl>
    <w:p>
      <w:pPr>
        <w:pStyle w:val="Normal"/>
        <w:rPr>
          <w:b/>
          <w:sz w:val="22"/>
        </w:rPr>
      </w:pPr>
      <w:r>
        <w:rPr>
          <w:b/>
          <w:sz w:val="22"/>
        </w:rPr>
      </w:r>
    </w:p>
    <w:p>
      <w:pPr>
        <w:pStyle w:val="Normal"/>
        <w:rPr>
          <w:b/>
          <w:sz w:val="22"/>
          <w:u w:val="single"/>
        </w:rPr>
      </w:pPr>
      <w:r>
        <w:rPr>
          <w:b/>
          <w:sz w:val="22"/>
          <w:u w:val="single"/>
        </w:rPr>
        <w:t>Part II  (Cap)</w:t>
      </w:r>
    </w:p>
    <w:p>
      <w:pPr>
        <w:pStyle w:val="Normal"/>
        <w:rPr>
          <w:b/>
          <w:sz w:val="22"/>
          <w:u w:val="single"/>
        </w:rPr>
      </w:pPr>
      <w:r>
        <w:rPr>
          <w:b/>
          <w:sz w:val="22"/>
          <w:u w:val="single"/>
        </w:rPr>
      </w:r>
    </w:p>
    <w:p>
      <w:pPr>
        <w:pStyle w:val="Normal"/>
        <w:numPr>
          <w:ilvl w:val="0"/>
          <w:numId w:val="0"/>
        </w:numPr>
        <w:outlineLvl w:val="0"/>
        <w:rPr>
          <w:sz w:val="22"/>
        </w:rPr>
      </w:pPr>
      <w:r>
        <w:rPr>
          <w:b/>
          <w:sz w:val="22"/>
        </w:rPr>
        <w:t>General Terms:</w:t>
      </w:r>
    </w:p>
    <w:p>
      <w:pPr>
        <w:pStyle w:val="Normal"/>
        <w:rPr>
          <w:sz w:val="22"/>
        </w:rPr>
      </w:pPr>
      <w:r>
        <w:rPr>
          <w:sz w:val="22"/>
        </w:rPr>
      </w:r>
    </w:p>
    <w:p>
      <w:pPr>
        <w:pStyle w:val="Normal"/>
        <w:numPr>
          <w:ilvl w:val="0"/>
          <w:numId w:val="0"/>
        </w:numPr>
        <w:outlineLvl w:val="0"/>
        <w:rPr>
          <w:sz w:val="22"/>
        </w:rPr>
      </w:pPr>
      <w:r>
        <w:rPr>
          <w:sz w:val="22"/>
        </w:rPr>
        <w:tab/>
        <w:t>Trade Date:</w:t>
        <w:tab/>
        <w:tab/>
        <w:tab/>
        <w:tab/>
        <w:t>April __, 2001</w:t>
      </w:r>
    </w:p>
    <w:p>
      <w:pPr>
        <w:pStyle w:val="Normal"/>
        <w:rPr>
          <w:sz w:val="22"/>
        </w:rPr>
      </w:pPr>
      <w:r>
        <w:rPr>
          <w:sz w:val="22"/>
        </w:rPr>
      </w:r>
    </w:p>
    <w:p>
      <w:pPr>
        <w:pStyle w:val="Normal"/>
        <w:tabs>
          <w:tab w:val="left" w:pos="720" w:leader="none"/>
        </w:tabs>
        <w:rPr>
          <w:sz w:val="22"/>
        </w:rPr>
      </w:pPr>
      <w:r>
        <w:rPr>
          <w:sz w:val="22"/>
        </w:rPr>
        <w:tab/>
        <w:t>Commodity:</w:t>
        <w:tab/>
        <w:tab/>
        <w:tab/>
        <w:tab/>
        <w:t>Electricity/MWh</w:t>
      </w:r>
    </w:p>
    <w:p>
      <w:pPr>
        <w:pStyle w:val="Normal"/>
        <w:rPr>
          <w:sz w:val="22"/>
        </w:rPr>
      </w:pPr>
      <w:r>
        <w:rPr>
          <w:sz w:val="22"/>
        </w:rPr>
      </w:r>
    </w:p>
    <w:p>
      <w:pPr>
        <w:pStyle w:val="Normal"/>
        <w:rPr>
          <w:sz w:val="22"/>
        </w:rPr>
      </w:pPr>
      <w:r>
        <w:rPr>
          <w:sz w:val="22"/>
        </w:rPr>
        <w:tab/>
        <w:t>Commodity Unit:</w:t>
        <w:tab/>
        <w:tab/>
        <w:tab/>
        <w:t>MWh (Megawatt hours)</w:t>
      </w:r>
    </w:p>
    <w:p>
      <w:pPr>
        <w:pStyle w:val="Normal"/>
        <w:rPr>
          <w:sz w:val="22"/>
        </w:rPr>
      </w:pPr>
      <w:r>
        <w:rPr>
          <w:sz w:val="22"/>
        </w:rPr>
      </w:r>
    </w:p>
    <w:p>
      <w:pPr>
        <w:pStyle w:val="Normal"/>
        <w:rPr>
          <w:sz w:val="22"/>
        </w:rPr>
      </w:pPr>
      <w:r>
        <w:rPr>
          <w:sz w:val="22"/>
        </w:rPr>
        <w:tab/>
        <w:t>Option Type:</w:t>
        <w:tab/>
        <w:tab/>
        <w:tab/>
        <w:tab/>
        <w:t>Cap</w:t>
      </w:r>
    </w:p>
    <w:p>
      <w:pPr>
        <w:pStyle w:val="Normal"/>
        <w:rPr>
          <w:sz w:val="22"/>
        </w:rPr>
      </w:pPr>
      <w:r>
        <w:rPr>
          <w:sz w:val="22"/>
        </w:rPr>
      </w:r>
    </w:p>
    <w:p>
      <w:pPr>
        <w:pStyle w:val="Normal"/>
        <w:rPr>
          <w:sz w:val="22"/>
        </w:rPr>
      </w:pPr>
      <w:r>
        <w:rPr>
          <w:sz w:val="22"/>
        </w:rPr>
        <w:tab/>
        <w:t>Seller:</w:t>
        <w:tab/>
        <w:tab/>
        <w:tab/>
        <w:tab/>
        <w:tab/>
        <w:t>ENA</w:t>
      </w:r>
    </w:p>
    <w:p>
      <w:pPr>
        <w:pStyle w:val="Normal"/>
        <w:rPr>
          <w:sz w:val="22"/>
        </w:rPr>
      </w:pPr>
      <w:r>
        <w:rPr>
          <w:sz w:val="22"/>
        </w:rPr>
      </w:r>
    </w:p>
    <w:p>
      <w:pPr>
        <w:pStyle w:val="Normal"/>
        <w:rPr>
          <w:sz w:val="22"/>
        </w:rPr>
      </w:pPr>
      <w:r>
        <w:rPr>
          <w:sz w:val="22"/>
        </w:rPr>
        <w:tab/>
        <w:t>Buyer:</w:t>
        <w:tab/>
        <w:tab/>
        <w:tab/>
        <w:tab/>
        <w:tab/>
        <w:t>Counterparty</w:t>
      </w:r>
    </w:p>
    <w:p>
      <w:pPr>
        <w:pStyle w:val="Normal"/>
        <w:rPr>
          <w:sz w:val="22"/>
        </w:rPr>
      </w:pPr>
      <w:r>
        <w:rPr>
          <w:sz w:val="22"/>
        </w:rPr>
      </w:r>
    </w:p>
    <w:p>
      <w:pPr>
        <w:pStyle w:val="Normal"/>
        <w:rPr>
          <w:sz w:val="22"/>
        </w:rPr>
      </w:pPr>
      <w:r>
        <w:rPr>
          <w:sz w:val="22"/>
        </w:rPr>
        <w:tab/>
        <w:t>Premium:</w:t>
        <w:tab/>
        <w:tab/>
        <w:tab/>
        <w:tab/>
        <w:t>No Premium- Premium is financed by increasing swap price.</w:t>
      </w:r>
    </w:p>
    <w:p>
      <w:pPr>
        <w:pStyle w:val="Normal"/>
        <w:rPr>
          <w:sz w:val="22"/>
        </w:rPr>
      </w:pPr>
      <w:r>
        <w:rPr>
          <w:sz w:val="22"/>
        </w:rPr>
      </w:r>
    </w:p>
    <w:p>
      <w:pPr>
        <w:pStyle w:val="Normal"/>
        <w:rPr>
          <w:sz w:val="22"/>
        </w:rPr>
      </w:pPr>
      <w:r>
        <w:rPr>
          <w:sz w:val="22"/>
        </w:rPr>
        <w:tab/>
        <w:t>Automatic Exercise:</w:t>
        <w:tab/>
        <w:tab/>
        <w:tab/>
        <w:t>Applicable</w:t>
      </w:r>
    </w:p>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ind w:firstLine="720" w:end="0"/>
              <w:rPr>
                <w:sz w:val="22"/>
              </w:rPr>
            </w:pPr>
            <w:r>
              <w:rPr>
                <w:sz w:val="22"/>
              </w:rPr>
              <w:t>Exercise Period:</w:t>
            </w:r>
          </w:p>
        </w:tc>
        <w:tc>
          <w:tcPr>
            <w:tcW w:w="5580" w:type="dxa"/>
            <w:tcBorders/>
          </w:tcPr>
          <w:p>
            <w:pPr>
              <w:pStyle w:val="Normal"/>
              <w:jc w:val="both"/>
              <w:rPr>
                <w:sz w:val="22"/>
              </w:rPr>
            </w:pPr>
            <w:r>
              <w:rPr>
                <w:sz w:val="22"/>
              </w:rPr>
              <w:t>Inapplicable</w:t>
            </w:r>
          </w:p>
        </w:tc>
      </w:tr>
    </w:tbl>
    <w:p>
      <w:pPr>
        <w:pStyle w:val="Normal"/>
        <w:rPr>
          <w:sz w:val="22"/>
        </w:rPr>
      </w:pPr>
      <w:r>
        <w:rPr>
          <w:sz w:val="22"/>
        </w:rPr>
        <w:tab/>
      </w:r>
    </w:p>
    <w:p>
      <w:pPr>
        <w:pStyle w:val="Normal"/>
        <w:numPr>
          <w:ilvl w:val="0"/>
          <w:numId w:val="0"/>
        </w:numPr>
        <w:outlineLvl w:val="0"/>
        <w:rPr>
          <w:sz w:val="22"/>
        </w:rPr>
      </w:pPr>
      <w:r>
        <w:rPr>
          <w:sz w:val="22"/>
        </w:rPr>
        <w:tab/>
        <w:t>Written Confirmation:</w:t>
        <w:tab/>
        <w:tab/>
        <w:tab/>
        <w:t>Inapplicable</w:t>
      </w:r>
    </w:p>
    <w:p>
      <w:pPr>
        <w:pStyle w:val="Normal"/>
        <w:rPr>
          <w:sz w:val="22"/>
        </w:rPr>
      </w:pPr>
      <w:r>
        <w:rPr>
          <w:sz w:val="22"/>
        </w:rPr>
      </w:r>
    </w:p>
    <w:p>
      <w:pPr>
        <w:pStyle w:val="Normal"/>
        <w:numPr>
          <w:ilvl w:val="0"/>
          <w:numId w:val="0"/>
        </w:numPr>
        <w:outlineLvl w:val="0"/>
        <w:rPr>
          <w:sz w:val="22"/>
        </w:rPr>
      </w:pPr>
      <w:r>
        <w:rPr>
          <w:b/>
          <w:sz w:val="22"/>
        </w:rPr>
        <w:t>Transaction Terms:</w:t>
      </w:r>
    </w:p>
    <w:p>
      <w:pPr>
        <w:pStyle w:val="Norma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start="720" w:end="0"/>
              <w:rPr>
                <w:sz w:val="22"/>
              </w:rPr>
            </w:pPr>
            <w:r>
              <w:rPr>
                <w:sz w:val="22"/>
              </w:rPr>
              <w:t>Notional Quantity per</w:t>
            </w:r>
          </w:p>
        </w:tc>
        <w:tc>
          <w:tcPr>
            <w:tcW w:w="5670" w:type="dxa"/>
            <w:tcBorders/>
          </w:tcPr>
          <w:p>
            <w:pPr>
              <w:pStyle w:val="Normal"/>
              <w:snapToGrid w:val="false"/>
              <w:rPr>
                <w:sz w:val="22"/>
              </w:rPr>
            </w:pPr>
            <w:r>
              <w:rPr>
                <w:sz w:val="22"/>
              </w:rPr>
            </w:r>
          </w:p>
        </w:tc>
      </w:tr>
      <w:tr>
        <w:trPr/>
        <w:tc>
          <w:tcPr>
            <w:tcW w:w="4248" w:type="dxa"/>
            <w:tcBorders/>
          </w:tcPr>
          <w:p>
            <w:pPr>
              <w:pStyle w:val="Normal"/>
              <w:ind w:start="720" w:end="0"/>
              <w:rPr>
                <w:sz w:val="22"/>
              </w:rPr>
            </w:pPr>
            <w:r>
              <w:rPr>
                <w:sz w:val="22"/>
              </w:rPr>
              <w:t>Determination Period:</w:t>
            </w:r>
          </w:p>
        </w:tc>
        <w:tc>
          <w:tcPr>
            <w:tcW w:w="5670" w:type="dxa"/>
            <w:tcBorders/>
          </w:tcPr>
          <w:p>
            <w:pPr>
              <w:pStyle w:val="Normal"/>
              <w:rPr>
                <w:sz w:val="22"/>
              </w:rPr>
            </w:pPr>
            <w:r>
              <w:rPr>
                <w:sz w:val="22"/>
              </w:rPr>
              <w:t>____MWs per hour for each On-Peak Hour during the Determination Period.</w:t>
            </w:r>
          </w:p>
        </w:tc>
      </w:tr>
      <w:tr>
        <w:trPr/>
        <w:tc>
          <w:tcPr>
            <w:tcW w:w="4248" w:type="dxa"/>
            <w:tcBorders/>
          </w:tcPr>
          <w:p>
            <w:pPr>
              <w:pStyle w:val="Normal"/>
              <w:snapToGrid w:val="false"/>
              <w:rPr>
                <w:sz w:val="22"/>
              </w:rPr>
            </w:pPr>
            <w:r>
              <w:rPr>
                <w:sz w:val="22"/>
              </w:rPr>
            </w:r>
          </w:p>
        </w:tc>
        <w:tc>
          <w:tcPr>
            <w:tcW w:w="5670" w:type="dxa"/>
            <w:tcBorders/>
          </w:tcPr>
          <w:p>
            <w:pPr>
              <w:pStyle w:val="Normal"/>
              <w:snapToGrid w:val="false"/>
              <w:rPr>
                <w:sz w:val="22"/>
              </w:rPr>
            </w:pPr>
            <w:r>
              <w:rPr>
                <w:sz w:val="22"/>
              </w:rPr>
            </w:r>
          </w:p>
        </w:tc>
      </w:tr>
    </w:tbl>
    <w:p>
      <w:pPr>
        <w:pStyle w:val="Normal"/>
        <w:tabs>
          <w:tab w:val="left" w:pos="720" w:leader="none"/>
        </w:tabs>
        <w:rPr>
          <w:sz w:val="22"/>
        </w:rPr>
      </w:pPr>
      <w:r>
        <w:rPr>
          <w:sz w:val="22"/>
        </w:rPr>
        <w:tab/>
        <w:t>Effective Date:</w:t>
        <w:tab/>
        <w:tab/>
        <w:tab/>
        <w:t xml:space="preserve">           May 1, 2001</w:t>
      </w:r>
    </w:p>
    <w:p>
      <w:pPr>
        <w:pStyle w:val="Normal"/>
        <w:rPr>
          <w:sz w:val="22"/>
        </w:rPr>
      </w:pPr>
      <w:r>
        <w:rPr>
          <w:sz w:val="22"/>
        </w:rPr>
      </w:r>
    </w:p>
    <w:p>
      <w:pPr>
        <w:pStyle w:val="Normal"/>
        <w:numPr>
          <w:ilvl w:val="0"/>
          <w:numId w:val="0"/>
        </w:numPr>
        <w:outlineLvl w:val="0"/>
        <w:rPr>
          <w:sz w:val="22"/>
        </w:rPr>
      </w:pPr>
      <w:r>
        <w:rPr>
          <w:sz w:val="22"/>
        </w:rPr>
        <w:tab/>
        <w:t>Termination Date:</w:t>
        <w:tab/>
        <w:tab/>
        <w:t xml:space="preserve">           October 31, 2001</w:t>
      </w:r>
    </w:p>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rPr>
                <w:sz w:val="22"/>
              </w:rPr>
            </w:pPr>
            <w:r>
              <w:rPr>
                <w:sz w:val="22"/>
              </w:rPr>
              <w:t xml:space="preserve">             </w:t>
            </w:r>
            <w:r>
              <w:rPr>
                <w:sz w:val="22"/>
              </w:rPr>
              <w:t>Determination Period(s):</w:t>
            </w:r>
          </w:p>
        </w:tc>
        <w:tc>
          <w:tcPr>
            <w:tcW w:w="5670" w:type="dxa"/>
            <w:tcBorders/>
          </w:tcPr>
          <w:p>
            <w:pPr>
              <w:pStyle w:val="Normal"/>
              <w:jc w:val="both"/>
              <w:rPr>
                <w:sz w:val="22"/>
              </w:rPr>
            </w:pPr>
            <w:r>
              <w:rPr>
                <w:sz w:val="22"/>
              </w:rPr>
              <w:t>Each calendar month beginning with May 1, 2001 and Ending on October 31, 2001.</w:t>
            </w:r>
          </w:p>
        </w:tc>
      </w:tr>
    </w:tbl>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firstLine="720" w:end="0"/>
              <w:rPr>
                <w:sz w:val="22"/>
              </w:rPr>
            </w:pPr>
            <w:r>
              <w:rPr>
                <w:sz w:val="22"/>
              </w:rPr>
              <w:t>Strike Price:</w:t>
            </w:r>
          </w:p>
        </w:tc>
        <w:tc>
          <w:tcPr>
            <w:tcW w:w="5670" w:type="dxa"/>
            <w:tcBorders/>
          </w:tcPr>
          <w:p>
            <w:pPr>
              <w:pStyle w:val="Normal"/>
              <w:jc w:val="both"/>
              <w:rPr>
                <w:sz w:val="22"/>
              </w:rPr>
            </w:pPr>
            <w:r>
              <w:rPr>
                <w:sz w:val="22"/>
              </w:rPr>
              <w:t>$_____</w:t>
            </w:r>
          </w:p>
        </w:tc>
      </w:tr>
    </w:tbl>
    <w:p>
      <w:pPr>
        <w:pStyle w:val="Norma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firstLine="720" w:end="0"/>
              <w:rPr>
                <w:sz w:val="22"/>
              </w:rPr>
            </w:pPr>
            <w:r>
              <w:rPr>
                <w:sz w:val="22"/>
              </w:rPr>
              <w:t>Floating Price:</w:t>
            </w:r>
          </w:p>
        </w:tc>
        <w:tc>
          <w:tcPr>
            <w:tcW w:w="5670" w:type="dxa"/>
            <w:tcBorders/>
          </w:tcPr>
          <w:p>
            <w:pPr>
              <w:pStyle w:val="Normal"/>
              <w:rPr>
                <w:b/>
                <w:sz w:val="22"/>
              </w:rPr>
            </w:pPr>
            <w:r>
              <w:rPr>
                <w:sz w:val="22"/>
              </w:rPr>
              <w:t xml:space="preserve">The average of 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xml:space="preserve">, or any successor thereto, under the headings “Day Ahead Market LBMP – Zonal; Zonal Prices; N.Y.C. (61761) for “On-Peak Hours” during the applicable Determination Period. </w:t>
            </w:r>
          </w:p>
          <w:p>
            <w:pPr>
              <w:pStyle w:val="Normal"/>
              <w:rPr>
                <w:b/>
                <w:sz w:val="22"/>
              </w:rPr>
            </w:pPr>
            <w:r>
              <w:rPr>
                <w:b/>
                <w:sz w:val="22"/>
              </w:rPr>
            </w:r>
          </w:p>
          <w:p>
            <w:pPr>
              <w:pStyle w:val="Normal"/>
              <w:jc w:val="both"/>
              <w:rPr>
                <w:sz w:val="22"/>
              </w:rPr>
            </w:pPr>
            <w:r>
              <w:rPr/>
              <w:t>“</w:t>
            </w:r>
            <w:r>
              <w:rPr/>
              <w:t>On-Peak Hours” means the hours commencing HE 0800 through HE 2300 Eastern Prevailing Time, Monday through Friday (excluding holidays of the North American Electric Reliability Council).</w:t>
            </w:r>
          </w:p>
        </w:tc>
      </w:tr>
      <w:tr>
        <w:trPr/>
        <w:tc>
          <w:tcPr>
            <w:tcW w:w="4248" w:type="dxa"/>
            <w:tcBorders/>
          </w:tcPr>
          <w:p>
            <w:pPr>
              <w:pStyle w:val="Normal"/>
              <w:snapToGrid w:val="false"/>
              <w:ind w:firstLine="720" w:end="0"/>
              <w:rPr>
                <w:sz w:val="22"/>
              </w:rPr>
            </w:pPr>
            <w:r>
              <w:rPr>
                <w:sz w:val="22"/>
              </w:rPr>
            </w:r>
          </w:p>
        </w:tc>
        <w:tc>
          <w:tcPr>
            <w:tcW w:w="5670" w:type="dxa"/>
            <w:tcBorders/>
          </w:tcPr>
          <w:p>
            <w:pPr>
              <w:pStyle w:val="Normal"/>
              <w:snapToGrid w:val="false"/>
              <w:rPr>
                <w:sz w:val="22"/>
              </w:rPr>
            </w:pPr>
            <w:r>
              <w:rPr>
                <w:sz w:val="22"/>
              </w:rPr>
            </w:r>
          </w:p>
        </w:tc>
      </w:tr>
      <w:tr>
        <w:trPr/>
        <w:tc>
          <w:tcPr>
            <w:tcW w:w="4248" w:type="dxa"/>
            <w:tcBorders/>
          </w:tcPr>
          <w:p>
            <w:pPr>
              <w:pStyle w:val="Normal"/>
              <w:tabs>
                <w:tab w:val="clear" w:pos="720"/>
                <w:tab w:val="left" w:pos="4230" w:leader="none"/>
              </w:tabs>
              <w:rPr>
                <w:sz w:val="22"/>
              </w:rPr>
            </w:pPr>
            <w:r>
              <w:rPr>
                <w:sz w:val="22"/>
              </w:rPr>
              <w:t>Payment Date(s):</w:t>
            </w:r>
          </w:p>
        </w:tc>
        <w:tc>
          <w:tcPr>
            <w:tcW w:w="5670" w:type="dxa"/>
            <w:tcBorders/>
          </w:tcPr>
          <w:p>
            <w:pPr>
              <w:pStyle w:val="Normal"/>
              <w:tabs>
                <w:tab w:val="clear" w:pos="720"/>
                <w:tab w:val="left" w:pos="4230" w:leader="none"/>
              </w:tabs>
              <w:jc w:val="both"/>
              <w:rPr/>
            </w:pPr>
            <w:r>
              <w:rPr>
                <w:sz w:val="22"/>
              </w:rPr>
              <w:t>The fifth (5</w:t>
            </w:r>
            <w:r>
              <w:rPr>
                <w:sz w:val="22"/>
                <w:vertAlign w:val="superscript"/>
              </w:rPr>
              <w:t>th</w:t>
            </w:r>
            <w:r>
              <w:rPr>
                <w:sz w:val="22"/>
              </w:rPr>
              <w:t>) Business Day following the date on which the Floating Price is determinable.</w:t>
            </w:r>
          </w:p>
        </w:tc>
      </w:tr>
    </w:tbl>
    <w:p>
      <w:pPr>
        <w:pStyle w:val="Normal"/>
        <w:rPr>
          <w:b/>
          <w:sz w:val="22"/>
          <w:u w:val="single"/>
        </w:rPr>
      </w:pPr>
      <w:r>
        <w:rPr>
          <w:b/>
          <w:sz w:val="22"/>
          <w:u w:val="single"/>
        </w:rPr>
      </w:r>
    </w:p>
    <w:p>
      <w:pPr>
        <w:pStyle w:val="Normal"/>
        <w:rPr>
          <w:b/>
          <w:sz w:val="22"/>
        </w:rPr>
      </w:pPr>
      <w:r>
        <w:rPr>
          <w:b/>
          <w:sz w:val="22"/>
        </w:rPr>
        <w:t>Contractual Currency:</w:t>
        <w:tab/>
        <w:tab/>
        <w:tab/>
      </w:r>
      <w:r>
        <w:rPr>
          <w:sz w:val="22"/>
        </w:rPr>
        <w:t>US Dollars</w:t>
      </w:r>
    </w:p>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77002</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NationsBank of Texas, N.A.</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b/>
      </w:rPr>
      <w:t>DRAFT</w:t>
    </w: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lang w:eastAsia="en-US"/>
    </w:rPr>
  </w:style>
  <w:style w:type="paragraph" w:styleId="Heading2">
    <w:name w:val="heading 2"/>
    <w:basedOn w:val="Normal"/>
    <w:next w:val="Normal"/>
    <w:qFormat/>
    <w:pPr>
      <w:keepNext w:val="true"/>
      <w:numPr>
        <w:ilvl w:val="1"/>
        <w:numId w:val="1"/>
      </w:numPr>
      <w:jc w:val="center"/>
      <w:outlineLvl w:val="1"/>
    </w:pPr>
    <w:rPr>
      <w:b/>
      <w:sz w:val="22"/>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b/>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2">
    <w:name w:val="Body Text 2"/>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2001-04-17T17:47:00Z</dcterms:created>
  <dc:creator>ECT</dc:creator>
  <dc:description/>
  <dc:language>en-CA</dc:language>
  <cp:lastModifiedBy>mmurphy</cp:lastModifiedBy>
  <dcterms:modified xsi:type="dcterms:W3CDTF">2001-04-17T18:03:00Z</dcterms:modified>
  <cp:revision>4</cp:revision>
  <dc:subject/>
  <dc:title/>
</cp:coreProperties>
</file>