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color w:val="000000"/>
          <w:sz w:val="24"/>
        </w:rPr>
      </w:pPr>
      <w:r>
        <w:rPr>
          <w:rFonts w:cs="Times New Roman" w:ascii="Times New Roman" w:hAnsi="Times New Roman"/>
          <w:color w:val="000000"/>
          <w:sz w:val="24"/>
        </w:rPr>
        <w:t>Paragraph 13</w:t>
      </w:r>
    </w:p>
    <w:p>
      <w:pPr>
        <w:pStyle w:val="Subtitle"/>
        <w:rPr>
          <w:color w:val="000000"/>
        </w:rPr>
      </w:pPr>
      <w:r>
        <w:rPr>
          <w:color w:val="000000"/>
        </w:rPr>
        <w:t>to</w:t>
      </w:r>
    </w:p>
    <w:p>
      <w:pPr>
        <w:pStyle w:val="Heading3"/>
        <w:ind w:hanging="0" w:start="0"/>
        <w:rPr>
          <w:color w:val="000000"/>
        </w:rPr>
      </w:pPr>
      <w:r>
        <w:rPr>
          <w:color w:val="000000"/>
        </w:rPr>
        <w:t>CREDIT SUPPORT ANNEX</w:t>
      </w:r>
    </w:p>
    <w:p>
      <w:pPr>
        <w:pStyle w:val="Normal"/>
        <w:suppressAutoHyphens w:val="true"/>
        <w:spacing w:lineRule="exact" w:line="360"/>
        <w:jc w:val="center"/>
        <w:rPr>
          <w:b/>
          <w:color w:val="000000"/>
          <w:sz w:val="24"/>
        </w:rPr>
      </w:pPr>
      <w:r>
        <w:rPr>
          <w:b/>
          <w:smallCaps/>
          <w:color w:val="000000"/>
          <w:sz w:val="24"/>
        </w:rPr>
        <w:t>to the</w:t>
      </w:r>
    </w:p>
    <w:p>
      <w:pPr>
        <w:pStyle w:val="Normal"/>
        <w:suppressAutoHyphens w:val="true"/>
        <w:spacing w:lineRule="exact" w:line="360"/>
        <w:jc w:val="center"/>
        <w:rPr>
          <w:b/>
          <w:color w:val="000000"/>
          <w:sz w:val="24"/>
        </w:rPr>
      </w:pPr>
      <w:r>
        <w:rPr>
          <w:b/>
          <w:color w:val="000000"/>
          <w:sz w:val="24"/>
        </w:rPr>
        <w:t>ISDA MASTER AGREEMENT</w:t>
      </w:r>
    </w:p>
    <w:p>
      <w:pPr>
        <w:pStyle w:val="Normal"/>
        <w:suppressAutoHyphens w:val="true"/>
        <w:spacing w:lineRule="exact" w:line="360"/>
        <w:jc w:val="center"/>
        <w:rPr>
          <w:b/>
          <w:smallCaps/>
          <w:color w:val="000000"/>
          <w:sz w:val="24"/>
        </w:rPr>
      </w:pPr>
      <w:r>
        <w:rPr>
          <w:b/>
          <w:smallCaps/>
          <w:color w:val="000000"/>
          <w:sz w:val="24"/>
        </w:rPr>
        <w:t>Dated as of _____________, 2002</w:t>
      </w:r>
    </w:p>
    <w:p>
      <w:pPr>
        <w:pStyle w:val="Heading5"/>
        <w:keepNext w:val="false"/>
        <w:spacing w:lineRule="exact" w:line="240"/>
        <w:ind w:hanging="0" w:start="0"/>
        <w:rPr>
          <w:b w:val="false"/>
          <w:caps w:val="false"/>
          <w:smallCaps w:val="false"/>
          <w:color w:val="000000"/>
          <w:sz w:val="24"/>
        </w:rPr>
      </w:pPr>
      <w:r>
        <w:rPr>
          <w:b w:val="false"/>
          <w:caps w:val="false"/>
          <w:smallCaps w:val="false"/>
          <w:color w:val="000000"/>
          <w:sz w:val="24"/>
        </w:rPr>
      </w:r>
    </w:p>
    <w:p>
      <w:pPr>
        <w:pStyle w:val="Heading5"/>
        <w:keepNext w:val="false"/>
        <w:spacing w:lineRule="exact" w:line="240"/>
        <w:ind w:hanging="0" w:start="0"/>
        <w:rPr/>
      </w:pPr>
      <w:r>
        <w:rPr/>
        <w:t>between</w:t>
      </w:r>
    </w:p>
    <w:p>
      <w:pPr>
        <w:pStyle w:val="Heading3"/>
        <w:tabs>
          <w:tab w:val="clear" w:pos="4680"/>
        </w:tabs>
        <w:spacing w:lineRule="exact" w:line="360"/>
        <w:ind w:hanging="0" w:start="0"/>
        <w:rPr/>
      </w:pPr>
      <w:r>
        <w:rPr/>
      </w:r>
    </w:p>
    <w:p>
      <w:pPr>
        <w:pStyle w:val="Heading3"/>
        <w:tabs>
          <w:tab w:val="clear" w:pos="4680"/>
        </w:tabs>
        <w:spacing w:lineRule="exact" w:line="360"/>
        <w:ind w:hanging="0" w:start="0"/>
        <w:rPr/>
      </w:pPr>
      <w:r>
        <w:rPr/>
        <w:t>PG&amp;E ENERGY TRADING – POWER, L.P.</w:t>
      </w:r>
    </w:p>
    <w:p>
      <w:pPr>
        <w:pStyle w:val="Normal"/>
        <w:suppressAutoHyphens w:val="true"/>
        <w:spacing w:lineRule="exact" w:line="360"/>
        <w:jc w:val="center"/>
        <w:rPr/>
      </w:pPr>
      <w:r>
        <w:rPr>
          <w:b/>
          <w:color w:val="000000"/>
          <w:sz w:val="24"/>
        </w:rPr>
        <w:t>(“</w:t>
      </w:r>
      <w:r>
        <w:rPr>
          <w:b/>
          <w:i/>
          <w:color w:val="000000"/>
          <w:sz w:val="24"/>
        </w:rPr>
        <w:t>Party A</w:t>
      </w:r>
      <w:r>
        <w:rPr>
          <w:b/>
          <w:color w:val="000000"/>
          <w:sz w:val="24"/>
        </w:rPr>
        <w:t>”)</w:t>
      </w:r>
    </w:p>
    <w:p>
      <w:pPr>
        <w:pStyle w:val="Normal"/>
        <w:suppressAutoHyphens w:val="true"/>
        <w:spacing w:lineRule="exact" w:line="360"/>
        <w:jc w:val="center"/>
        <w:rPr>
          <w:b/>
          <w:color w:val="000000"/>
          <w:sz w:val="24"/>
        </w:rPr>
      </w:pPr>
      <w:r>
        <w:rPr>
          <w:b/>
          <w:smallCaps/>
          <w:color w:val="000000"/>
          <w:sz w:val="24"/>
        </w:rPr>
        <w:t>and</w:t>
      </w:r>
    </w:p>
    <w:p>
      <w:pPr>
        <w:pStyle w:val="Normal"/>
        <w:suppressAutoHyphens w:val="true"/>
        <w:spacing w:lineRule="exact" w:line="360"/>
        <w:jc w:val="center"/>
        <w:rPr>
          <w:b/>
          <w:color w:val="000000"/>
          <w:sz w:val="24"/>
        </w:rPr>
      </w:pPr>
      <w:r>
        <w:rPr>
          <w:b/>
          <w:color w:val="000000"/>
          <w:sz w:val="24"/>
          <w:highlight w:val="lightGray"/>
        </w:rPr>
        <w:t>[</w:t>
      </w:r>
      <w:r>
        <w:rPr>
          <w:b/>
          <w:smallCaps/>
          <w:color w:val="000000"/>
          <w:sz w:val="24"/>
          <w:highlight w:val="lightGray"/>
        </w:rPr>
        <w:t>______________________________</w:t>
      </w:r>
      <w:r>
        <w:rPr>
          <w:b/>
          <w:color w:val="000000"/>
          <w:sz w:val="24"/>
          <w:highlight w:val="lightGray"/>
        </w:rPr>
        <w:t>]</w:t>
      </w:r>
    </w:p>
    <w:p>
      <w:pPr>
        <w:pStyle w:val="Normal"/>
        <w:suppressAutoHyphens w:val="true"/>
        <w:spacing w:lineRule="exact" w:line="360"/>
        <w:jc w:val="center"/>
        <w:rPr>
          <w:color w:val="000000"/>
          <w:sz w:val="24"/>
        </w:rPr>
      </w:pPr>
      <w:r>
        <w:rPr>
          <w:b/>
          <w:color w:val="000000"/>
          <w:sz w:val="24"/>
        </w:rPr>
        <w:t>(“</w:t>
      </w:r>
      <w:r>
        <w:rPr>
          <w:b/>
          <w:i/>
          <w:color w:val="000000"/>
          <w:sz w:val="24"/>
        </w:rPr>
        <w:t>Party B</w:t>
      </w:r>
      <w:r>
        <w:rPr>
          <w:b/>
          <w:color w:val="000000"/>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b/>
          <w:color w:val="000000"/>
          <w:sz w:val="24"/>
        </w:rPr>
      </w:pPr>
      <w:r>
        <w:rPr>
          <w:b/>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b/>
          <w:color w:val="000000"/>
          <w:sz w:val="24"/>
        </w:rPr>
      </w:pPr>
      <w:r>
        <w:rPr>
          <w:b/>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color w:val="000000"/>
          <w:sz w:val="24"/>
        </w:rPr>
        <w:t>Paragraph 13. Elections and Variables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pPr>
      <w:r>
        <w:rPr>
          <w:color w:val="000000"/>
          <w:sz w:val="24"/>
        </w:rPr>
        <w:t>(a)</w:t>
      </w:r>
      <w:r>
        <w:rPr>
          <w:b/>
          <w:i/>
          <w:color w:val="000000"/>
          <w:sz w:val="24"/>
        </w:rPr>
        <w:tab/>
        <w:t>Security Interest for “Obligations.”</w:t>
      </w:r>
      <w:r>
        <w:rPr>
          <w:color w:val="000000"/>
          <w:sz w:val="24"/>
        </w:rPr>
        <w:t xml:space="preserve">  The term </w:t>
      </w:r>
      <w:r>
        <w:rPr>
          <w:b/>
          <w:i/>
          <w:color w:val="000000"/>
          <w:sz w:val="24"/>
        </w:rPr>
        <w:t>“Obligations”</w:t>
      </w:r>
      <w:r>
        <w:rPr>
          <w:color w:val="000000"/>
          <w:sz w:val="24"/>
        </w:rPr>
        <w:t xml:space="preserve"> as used in this Annex includes the following additional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ab/>
        <w:t>With respect to Party A:  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ab/>
        <w:t>With respect to Party B:  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(b)</w:t>
      </w:r>
      <w:r>
        <w:rPr>
          <w:b/>
          <w:i/>
          <w:color w:val="000000"/>
          <w:sz w:val="24"/>
        </w:rPr>
        <w:tab/>
        <w:t>Credit Support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ab/>
      </w:r>
      <w:r>
        <w:rPr>
          <w:color w:val="000000"/>
          <w:spacing w:val="-2"/>
          <w:sz w:val="24"/>
        </w:rPr>
        <w:t>(i)</w:t>
      </w:r>
      <w:r>
        <w:rPr>
          <w:b/>
          <w:color w:val="000000"/>
          <w:spacing w:val="-2"/>
          <w:sz w:val="24"/>
        </w:rPr>
        <w:tab/>
        <w:t>“</w:t>
      </w:r>
      <w:r>
        <w:rPr>
          <w:b/>
          <w:i/>
          <w:color w:val="000000"/>
          <w:spacing w:val="-2"/>
          <w:sz w:val="24"/>
        </w:rPr>
        <w:t>Delivery Amount</w:t>
      </w:r>
      <w:r>
        <w:rPr>
          <w:b/>
          <w:color w:val="000000"/>
          <w:spacing w:val="-2"/>
          <w:sz w:val="24"/>
        </w:rPr>
        <w:t>”</w:t>
      </w:r>
      <w:r>
        <w:rPr>
          <w:color w:val="000000"/>
          <w:spacing w:val="-2"/>
          <w:sz w:val="24"/>
        </w:rPr>
        <w:t xml:space="preserve">, </w:t>
      </w:r>
      <w:r>
        <w:rPr>
          <w:b/>
          <w:color w:val="000000"/>
          <w:spacing w:val="-2"/>
          <w:sz w:val="24"/>
        </w:rPr>
        <w:t>“</w:t>
      </w:r>
      <w:r>
        <w:rPr>
          <w:b/>
          <w:i/>
          <w:color w:val="000000"/>
          <w:spacing w:val="-2"/>
          <w:sz w:val="24"/>
        </w:rPr>
        <w:t>Return Amount</w:t>
      </w:r>
      <w:r>
        <w:rPr>
          <w:b/>
          <w:color w:val="000000"/>
          <w:spacing w:val="-2"/>
          <w:sz w:val="24"/>
        </w:rPr>
        <w:t>”</w:t>
      </w:r>
      <w:r>
        <w:rPr>
          <w:color w:val="000000"/>
          <w:spacing w:val="-2"/>
          <w:sz w:val="24"/>
        </w:rPr>
        <w:t xml:space="preserve"> and </w:t>
      </w:r>
      <w:r>
        <w:rPr>
          <w:b/>
          <w:color w:val="000000"/>
          <w:spacing w:val="-2"/>
          <w:sz w:val="24"/>
        </w:rPr>
        <w:t>“</w:t>
      </w:r>
      <w:r>
        <w:rPr>
          <w:b/>
          <w:i/>
          <w:color w:val="000000"/>
          <w:spacing w:val="-2"/>
          <w:sz w:val="24"/>
        </w:rPr>
        <w:t>Credit Support Amount</w:t>
      </w:r>
      <w:r>
        <w:rPr>
          <w:b/>
          <w:color w:val="000000"/>
          <w:spacing w:val="-2"/>
          <w:sz w:val="24"/>
        </w:rPr>
        <w:t>”</w:t>
      </w:r>
      <w:r>
        <w:rPr>
          <w:color w:val="000000"/>
          <w:spacing w:val="-2"/>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ab/>
      </w:r>
      <w:r>
        <w:rPr>
          <w:color w:val="000000"/>
          <w:spacing w:val="-2"/>
          <w:sz w:val="24"/>
        </w:rPr>
        <w:t>(A)</w:t>
      </w:r>
      <w:r>
        <w:rPr>
          <w:b/>
          <w:i/>
          <w:color w:val="000000"/>
          <w:sz w:val="24"/>
        </w:rPr>
        <w:tab/>
        <w:t>“Delivery Amount”</w:t>
      </w:r>
      <w:r>
        <w:rPr>
          <w:color w:val="000000"/>
          <w:sz w:val="24"/>
        </w:rPr>
        <w:t xml:space="preserve"> has the meaning specified in Paragraph 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ab/>
      </w:r>
      <w:r>
        <w:rPr>
          <w:color w:val="000000"/>
          <w:spacing w:val="-2"/>
          <w:sz w:val="24"/>
        </w:rPr>
        <w:t>(B)</w:t>
      </w:r>
      <w:r>
        <w:rPr>
          <w:b/>
          <w:i/>
          <w:color w:val="000000"/>
          <w:sz w:val="24"/>
        </w:rPr>
        <w:tab/>
        <w:t>“Return Amount”</w:t>
      </w:r>
      <w:r>
        <w:rPr>
          <w:color w:val="000000"/>
          <w:sz w:val="24"/>
        </w:rPr>
        <w:t xml:space="preserve"> has the meaning specified in Paragraph 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ab/>
      </w:r>
      <w:r>
        <w:rPr>
          <w:color w:val="000000"/>
          <w:spacing w:val="-2"/>
          <w:sz w:val="24"/>
        </w:rPr>
        <w:t>(C)</w:t>
      </w:r>
      <w:r>
        <w:rPr>
          <w:b/>
          <w:i/>
          <w:color w:val="000000"/>
          <w:sz w:val="24"/>
        </w:rPr>
        <w:tab/>
        <w:t>“Credit Support Amount”</w:t>
      </w:r>
      <w:r>
        <w:rPr>
          <w:color w:val="000000"/>
          <w:sz w:val="24"/>
        </w:rPr>
        <w:t xml:space="preserve"> has the meaning specified in </w:t>
      </w:r>
      <w:r>
        <w:rPr>
          <w:i/>
          <w:color w:val="000000"/>
          <w:spacing w:val="-2"/>
          <w:sz w:val="24"/>
        </w:rPr>
        <w:t>Paragraph 3</w:t>
      </w:r>
      <w:r>
        <w:rPr>
          <w:color w:val="000000"/>
          <w:spacing w:val="-2"/>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pacing w:val="-2"/>
          <w:sz w:val="24"/>
        </w:rPr>
      </w:pPr>
      <w:r>
        <w:rPr>
          <w:color w:val="000000"/>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numPr>
          <w:ilvl w:val="0"/>
          <w:numId w:val="9"/>
        </w:numPr>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Eligible Collateral</w:t>
      </w:r>
      <w:r>
        <w:rPr>
          <w:color w:val="000000"/>
          <w:sz w:val="24"/>
        </w:rPr>
        <w:t xml:space="preserve">.  The following items will qualify as </w:t>
      </w:r>
      <w:r>
        <w:rPr>
          <w:b/>
          <w:i/>
          <w:color w:val="000000"/>
          <w:sz w:val="24"/>
        </w:rPr>
        <w:t>“Eligible Collateral”</w:t>
      </w:r>
      <w:r>
        <w:rPr>
          <w:color w:val="000000"/>
          <w:sz w:val="24"/>
        </w:rPr>
        <w:t xml:space="preserve"> for the </w:t>
      </w:r>
      <w:r>
        <w:rPr>
          <w:color w:val="000000"/>
          <w:spacing w:val="-2"/>
          <w:sz w:val="24"/>
        </w:rPr>
        <w:t>party</w:t>
      </w:r>
      <w:r>
        <w:rPr>
          <w:color w:val="000000"/>
          <w:sz w:val="24"/>
        </w:rPr>
        <w:t xml:space="preserve"> specified: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z w:val="24"/>
        </w:rPr>
      </w:pPr>
      <w:r>
        <w:rPr>
          <w:color w:val="000000"/>
          <w:sz w:val="24"/>
        </w:rPr>
      </w:r>
    </w:p>
    <w:tbl>
      <w:tblPr>
        <w:tblW w:w="8634" w:type="dxa"/>
        <w:jc w:val="start"/>
        <w:tblInd w:w="840" w:type="dxa"/>
        <w:tblLayout w:type="fixed"/>
        <w:tblCellMar>
          <w:top w:w="0" w:type="dxa"/>
          <w:start w:w="120" w:type="dxa"/>
          <w:bottom w:w="0" w:type="dxa"/>
          <w:end w:w="120" w:type="dxa"/>
        </w:tblCellMar>
      </w:tblPr>
      <w:tblGrid>
        <w:gridCol w:w="5166"/>
        <w:gridCol w:w="960"/>
        <w:gridCol w:w="918"/>
        <w:gridCol w:w="1590"/>
      </w:tblGrid>
      <w:tr>
        <w:trPr/>
        <w:tc>
          <w:tcPr>
            <w:tcW w:w="5166"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napToGrid w:val="false"/>
              <w:spacing w:before="90" w:after="54"/>
              <w:rPr>
                <w:color w:val="000000"/>
                <w:sz w:val="24"/>
              </w:rPr>
            </w:pPr>
            <w:r>
              <w:rPr>
                <w:color w:val="000000"/>
                <w:sz w:val="24"/>
              </w:rPr>
            </w:r>
          </w:p>
        </w:tc>
        <w:tc>
          <w:tcPr>
            <w:tcW w:w="9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b/>
                <w:color w:val="000000"/>
                <w:sz w:val="24"/>
              </w:rPr>
              <w:t>Party A</w:t>
            </w:r>
          </w:p>
        </w:tc>
        <w:tc>
          <w:tcPr>
            <w:tcW w:w="918"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b/>
                <w:color w:val="000000"/>
                <w:sz w:val="24"/>
              </w:rPr>
              <w:t>Party B</w:t>
            </w:r>
          </w:p>
        </w:tc>
        <w:tc>
          <w:tcPr>
            <w:tcW w:w="15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0"/>
              <w:jc w:val="center"/>
              <w:rPr>
                <w:b/>
                <w:color w:val="000000"/>
                <w:sz w:val="24"/>
              </w:rPr>
            </w:pPr>
            <w:r>
              <w:rPr>
                <w:b/>
                <w:color w:val="000000"/>
                <w:sz w:val="24"/>
              </w:rPr>
              <w:t>Valuation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54"/>
              <w:jc w:val="center"/>
              <w:rPr>
                <w:color w:val="000000"/>
                <w:sz w:val="24"/>
              </w:rPr>
            </w:pPr>
            <w:r>
              <w:rPr>
                <w:b/>
                <w:color w:val="000000"/>
                <w:sz w:val="24"/>
              </w:rPr>
              <w:t>Percentage</w:t>
            </w:r>
          </w:p>
        </w:tc>
      </w:tr>
      <w:tr>
        <w:trPr/>
        <w:tc>
          <w:tcPr>
            <w:tcW w:w="5166"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rPr>
                <w:color w:val="000000"/>
                <w:sz w:val="24"/>
              </w:rPr>
            </w:pPr>
            <w:r>
              <w:rPr>
                <w:color w:val="000000"/>
                <w:sz w:val="24"/>
              </w:rPr>
              <w:t>(A)    Cash (USD $)</w:t>
            </w:r>
          </w:p>
        </w:tc>
        <w:tc>
          <w:tcPr>
            <w:tcW w:w="9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color w:val="000000"/>
                <w:sz w:val="24"/>
              </w:rPr>
              <w:t>[X]</w:t>
            </w:r>
          </w:p>
        </w:tc>
        <w:tc>
          <w:tcPr>
            <w:tcW w:w="918"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color w:val="000000"/>
                <w:sz w:val="24"/>
              </w:rPr>
              <w:t>[X]</w:t>
            </w:r>
          </w:p>
        </w:tc>
        <w:tc>
          <w:tcPr>
            <w:tcW w:w="15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color w:val="000000"/>
                <w:sz w:val="24"/>
              </w:rPr>
              <w:t>[100]%</w:t>
            </w:r>
          </w:p>
        </w:tc>
      </w:tr>
      <w:tr>
        <w:trPr/>
        <w:tc>
          <w:tcPr>
            <w:tcW w:w="5166" w:type="dxa"/>
            <w:tcBorders/>
          </w:tcPr>
          <w:p>
            <w:pPr>
              <w:pStyle w:val="Normal"/>
              <w:tabs>
                <w:tab w:val="left" w:pos="51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 xml:space="preserve">(B)    Negotiable debt obligations issued by the   </w:t>
            </w:r>
          </w:p>
          <w:p>
            <w:pPr>
              <w:pStyle w:val="Normal"/>
              <w:tabs>
                <w:tab w:val="left" w:pos="51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 xml:space="preserve">         </w:t>
            </w:r>
            <w:r>
              <w:rPr>
                <w:color w:val="000000"/>
                <w:sz w:val="24"/>
              </w:rPr>
              <w:t xml:space="preserve">U.S. Treasury Department having an    </w:t>
            </w:r>
          </w:p>
          <w:p>
            <w:pPr>
              <w:pStyle w:val="Normal"/>
              <w:tabs>
                <w:tab w:val="left" w:pos="51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 xml:space="preserve">         </w:t>
            </w:r>
            <w:r>
              <w:rPr>
                <w:color w:val="000000"/>
                <w:sz w:val="24"/>
              </w:rPr>
              <w:t xml:space="preserve">outstanding  maturity of not more than one     </w:t>
            </w:r>
          </w:p>
          <w:p>
            <w:pPr>
              <w:pStyle w:val="Normal"/>
              <w:tabs>
                <w:tab w:val="left" w:pos="51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 xml:space="preserve">         </w:t>
            </w:r>
            <w:r>
              <w:rPr>
                <w:color w:val="000000"/>
                <w:sz w:val="24"/>
              </w:rPr>
              <w:t>year;</w:t>
            </w:r>
          </w:p>
          <w:p>
            <w:pPr>
              <w:pStyle w:val="Normal"/>
              <w:tabs>
                <w:tab w:val="left" w:pos="51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tc>
        <w:tc>
          <w:tcPr>
            <w:tcW w:w="9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rPr>
                <w:color w:val="000000"/>
                <w:sz w:val="24"/>
              </w:rPr>
            </w:pPr>
            <w:r>
              <w:rPr>
                <w:color w:val="000000"/>
                <w:sz w:val="24"/>
              </w:rPr>
              <w:t xml:space="preserve">   </w:t>
            </w:r>
            <w:r>
              <w:rPr>
                <w:color w:val="000000"/>
                <w:sz w:val="24"/>
              </w:rPr>
              <w:t>[X]</w:t>
            </w:r>
          </w:p>
        </w:tc>
        <w:tc>
          <w:tcPr>
            <w:tcW w:w="918"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rPr>
                <w:color w:val="000000"/>
                <w:sz w:val="24"/>
              </w:rPr>
            </w:pPr>
            <w:r>
              <w:rPr>
                <w:color w:val="000000"/>
                <w:sz w:val="24"/>
              </w:rPr>
              <w:t xml:space="preserve">   </w:t>
            </w:r>
            <w:r>
              <w:rPr>
                <w:color w:val="000000"/>
                <w:sz w:val="24"/>
              </w:rPr>
              <w:t xml:space="preserve">[X] </w:t>
            </w:r>
          </w:p>
        </w:tc>
        <w:tc>
          <w:tcPr>
            <w:tcW w:w="15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rPr>
                <w:color w:val="000000"/>
                <w:sz w:val="24"/>
              </w:rPr>
            </w:pPr>
            <w:r>
              <w:rPr>
                <w:color w:val="000000"/>
                <w:sz w:val="24"/>
              </w:rPr>
              <w:t xml:space="preserve">     </w:t>
            </w:r>
            <w:r>
              <w:rPr>
                <w:color w:val="000000"/>
                <w:sz w:val="24"/>
              </w:rPr>
              <w:t>[100]%</w:t>
            </w:r>
          </w:p>
        </w:tc>
      </w:tr>
    </w:tbl>
    <w:p>
      <w:pPr>
        <w:pStyle w:val="Normal"/>
        <w:tabs>
          <w:tab w:val="left" w:pos="-720" w:leader="none"/>
          <w:tab w:val="left" w:pos="0" w:leader="none"/>
          <w:tab w:val="left" w:pos="720" w:leader="none"/>
        </w:tabs>
        <w:suppressAutoHyphens w:val="true"/>
        <w:ind w:start="720" w:end="0"/>
        <w:jc w:val="both"/>
        <w:rPr>
          <w:color w:val="000000"/>
          <w:sz w:val="24"/>
        </w:rPr>
      </w:pPr>
      <w:r>
        <w:rPr>
          <w:color w:val="000000"/>
          <w:sz w:val="24"/>
        </w:rPr>
      </w:r>
    </w:p>
    <w:p>
      <w:pPr>
        <w:pStyle w:val="Normal"/>
        <w:numPr>
          <w:ilvl w:val="0"/>
          <w:numId w:val="10"/>
        </w:numPr>
        <w:tabs>
          <w:tab w:val="left" w:pos="-720" w:leader="none"/>
          <w:tab w:val="left" w:pos="0" w:leader="none"/>
          <w:tab w:val="left" w:pos="720" w:leader="none"/>
        </w:tabs>
        <w:suppressAutoHyphens w:val="true"/>
        <w:jc w:val="both"/>
        <w:rPr>
          <w:color w:val="000000"/>
          <w:sz w:val="24"/>
        </w:rPr>
      </w:pPr>
      <w:r>
        <w:rPr>
          <w:b/>
          <w:i/>
          <w:color w:val="000000"/>
          <w:sz w:val="24"/>
        </w:rPr>
        <w:t>Other Eligible Support</w:t>
      </w:r>
      <w:r>
        <w:rPr>
          <w:color w:val="000000"/>
          <w:sz w:val="24"/>
        </w:rPr>
        <w:t>.  The following item will qualify as “Other Eligible Support” for the party specified:</w:t>
      </w:r>
    </w:p>
    <w:p>
      <w:pPr>
        <w:pStyle w:val="Normal"/>
        <w:tabs>
          <w:tab w:val="left" w:pos="-720" w:leader="none"/>
          <w:tab w:val="left" w:pos="0" w:leader="none"/>
          <w:tab w:val="left" w:pos="720" w:leader="none"/>
        </w:tabs>
        <w:suppressAutoHyphens w:val="true"/>
        <w:jc w:val="both"/>
        <w:rPr>
          <w:color w:val="000000"/>
          <w:sz w:val="24"/>
        </w:rPr>
      </w:pPr>
      <w:r>
        <w:rPr>
          <w:color w:val="000000"/>
          <w:sz w:val="24"/>
        </w:rPr>
      </w:r>
    </w:p>
    <w:tbl>
      <w:tblPr>
        <w:tblW w:w="8640" w:type="dxa"/>
        <w:jc w:val="start"/>
        <w:tblInd w:w="840" w:type="dxa"/>
        <w:tblLayout w:type="fixed"/>
        <w:tblCellMar>
          <w:top w:w="0" w:type="dxa"/>
          <w:start w:w="120" w:type="dxa"/>
          <w:bottom w:w="0" w:type="dxa"/>
          <w:end w:w="120" w:type="dxa"/>
        </w:tblCellMar>
      </w:tblPr>
      <w:tblGrid>
        <w:gridCol w:w="6840"/>
        <w:gridCol w:w="900"/>
        <w:gridCol w:w="900"/>
      </w:tblGrid>
      <w:tr>
        <w:trPr/>
        <w:tc>
          <w:tcPr>
            <w:tcW w:w="684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napToGrid w:val="false"/>
              <w:spacing w:before="90" w:after="54"/>
              <w:rPr>
                <w:color w:val="000000"/>
                <w:sz w:val="24"/>
              </w:rPr>
            </w:pPr>
            <w:r>
              <w:rPr>
                <w:color w:val="000000"/>
                <w:sz w:val="24"/>
              </w:rPr>
            </w:r>
          </w:p>
        </w:tc>
        <w:tc>
          <w:tcPr>
            <w:tcW w:w="9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b/>
                <w:color w:val="000000"/>
                <w:sz w:val="24"/>
              </w:rPr>
              <w:t>Party A</w:t>
            </w:r>
          </w:p>
        </w:tc>
        <w:tc>
          <w:tcPr>
            <w:tcW w:w="9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b/>
                <w:color w:val="000000"/>
                <w:sz w:val="24"/>
              </w:rPr>
              <w:t>Party B</w:t>
            </w:r>
          </w:p>
        </w:tc>
      </w:tr>
      <w:tr>
        <w:trPr/>
        <w:tc>
          <w:tcPr>
            <w:tcW w:w="684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ind w:hanging="1440" w:start="1440" w:end="0"/>
              <w:rPr>
                <w:color w:val="000000"/>
                <w:sz w:val="24"/>
              </w:rPr>
            </w:pPr>
            <w:r>
              <w:rPr>
                <w:color w:val="000000"/>
                <w:sz w:val="24"/>
              </w:rPr>
              <w:tab/>
              <w:t>(A)</w:t>
              <w:tab/>
              <w:t>one or more irrevocable standby letters of credit, expiring in not less than 15 days, issued by a bank reasonably acceptable to the Secured Party under language in a form and in an amount reasonably acceptable to the Secured Party.</w:t>
            </w:r>
          </w:p>
        </w:tc>
        <w:tc>
          <w:tcPr>
            <w:tcW w:w="9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color w:val="000000"/>
                <w:sz w:val="24"/>
              </w:rPr>
              <w:t>[X]</w:t>
            </w:r>
          </w:p>
        </w:tc>
        <w:tc>
          <w:tcPr>
            <w:tcW w:w="9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90" w:after="54"/>
              <w:jc w:val="center"/>
              <w:rPr>
                <w:color w:val="000000"/>
                <w:sz w:val="24"/>
              </w:rPr>
            </w:pPr>
            <w:r>
              <w:rPr>
                <w:color w:val="000000"/>
                <w:sz w:val="24"/>
              </w:rPr>
              <w:t>[X]</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r>
    </w:p>
    <w:p>
      <w:pPr>
        <w:pStyle w:val="Normal"/>
        <w:tabs>
          <w:tab w:val="clear" w:pos="720"/>
          <w:tab w:val="left" w:pos="-720" w:leader="none"/>
        </w:tabs>
        <w:suppressAutoHyphens w:val="true"/>
        <w:ind w:hanging="720" w:start="1440" w:end="0"/>
        <w:jc w:val="both"/>
        <w:rPr>
          <w:color w:val="000000"/>
          <w:spacing w:val="-2"/>
          <w:sz w:val="24"/>
        </w:rPr>
      </w:pPr>
      <w:r>
        <w:rPr>
          <w:color w:val="000000"/>
          <w:spacing w:val="-2"/>
          <w:sz w:val="24"/>
        </w:rPr>
        <w:t>(iv)</w:t>
      </w:r>
      <w:r>
        <w:rPr>
          <w:b/>
          <w:i/>
          <w:color w:val="000000"/>
          <w:spacing w:val="-2"/>
          <w:sz w:val="24"/>
        </w:rPr>
        <w:tab/>
        <w:t>Thresholds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pacing w:val="-2"/>
          <w:sz w:val="24"/>
        </w:rPr>
      </w:pPr>
      <w:r>
        <w:rPr>
          <w:color w:val="000000"/>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2160" w:start="2160" w:end="0"/>
        <w:rPr/>
      </w:pPr>
      <w:r>
        <w:rPr>
          <w:color w:val="000000"/>
          <w:sz w:val="24"/>
        </w:rPr>
        <w:tab/>
        <w:tab/>
        <w:t>(A)</w:t>
      </w:r>
      <w:r>
        <w:rPr>
          <w:b/>
          <w:i/>
          <w:color w:val="000000"/>
          <w:sz w:val="24"/>
        </w:rPr>
        <w:tab/>
        <w:t>“Independent Amount”</w:t>
      </w:r>
      <w:r>
        <w:rPr>
          <w:color w:val="000000"/>
          <w:sz w:val="24"/>
        </w:rPr>
        <w:t xml:space="preserve"> means with respect to both Party A and Party B:  for each Transaction at any time, zero.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pacing w:val="-2"/>
          <w:sz w:val="24"/>
        </w:rPr>
      </w:pPr>
      <w:r>
        <w:rPr>
          <w:color w:val="000000"/>
          <w:spacing w:val="-2"/>
          <w:sz w:val="24"/>
        </w:rPr>
      </w:r>
    </w:p>
    <w:p>
      <w:pPr>
        <w:pStyle w:val="Normal"/>
        <w:numPr>
          <w:ilvl w:val="0"/>
          <w:numId w:val="11"/>
        </w:numPr>
        <w:tabs>
          <w:tab w:val="left" w:pos="0" w:leader="none"/>
          <w:tab w:val="left" w:pos="72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pacing w:val="-2"/>
          <w:sz w:val="24"/>
        </w:rPr>
      </w:pPr>
      <w:r>
        <w:rPr>
          <w:b/>
          <w:i/>
          <w:color w:val="000000"/>
          <w:spacing w:val="-2"/>
          <w:sz w:val="24"/>
        </w:rPr>
        <w:t>“</w:t>
      </w:r>
      <w:r>
        <w:rPr>
          <w:b/>
          <w:i/>
          <w:color w:val="000000"/>
          <w:spacing w:val="-2"/>
          <w:sz w:val="24"/>
        </w:rPr>
        <w:t>Threshold”</w:t>
      </w:r>
      <w:r>
        <w:rPr>
          <w:color w:val="000000"/>
          <w:spacing w:val="-2"/>
          <w:sz w:val="24"/>
        </w:rPr>
        <w:t xml:space="preserve"> means:</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ind w:start="1440" w:end="0"/>
        <w:rPr>
          <w:color w:val="000000"/>
          <w:spacing w:val="-2"/>
          <w:sz w:val="24"/>
        </w:rPr>
      </w:pPr>
      <w:r>
        <w:rPr>
          <w:color w:val="000000"/>
          <w:spacing w:val="-2"/>
          <w:sz w:val="24"/>
        </w:rPr>
      </w:r>
    </w:p>
    <w:p>
      <w:pPr>
        <w:pStyle w:val="Normal"/>
        <w:ind w:hanging="720" w:start="2160" w:end="0"/>
        <w:jc w:val="both"/>
        <w:rPr/>
      </w:pPr>
      <w:r>
        <w:rPr>
          <w:b/>
          <w:i/>
          <w:color w:val="000000"/>
          <w:spacing w:val="-2"/>
          <w:sz w:val="24"/>
        </w:rPr>
        <w:tab/>
      </w:r>
      <w:r>
        <w:rPr>
          <w:color w:val="000000"/>
          <w:spacing w:val="-2"/>
          <w:sz w:val="24"/>
        </w:rPr>
        <w:t xml:space="preserve">with respect to Party A, </w:t>
      </w:r>
      <w:r>
        <w:rPr>
          <w:color w:val="000000"/>
          <w:spacing w:val="-2"/>
          <w:sz w:val="24"/>
          <w:highlight w:val="lightGray"/>
        </w:rPr>
        <w:t>USD $ [to be determined by credit</w:t>
      </w:r>
      <w:r>
        <w:rPr>
          <w:color w:val="000000"/>
          <w:spacing w:val="-2"/>
          <w:sz w:val="24"/>
        </w:rPr>
        <w:t xml:space="preserve">] if, at the time, Party A is not a Defaulting Party, and zero if, at the time, Party A is a Defaulting Party; </w:t>
      </w:r>
      <w:r>
        <w:rPr>
          <w:i/>
          <w:color w:val="000000"/>
          <w:spacing w:val="-2"/>
          <w:sz w:val="24"/>
          <w:u w:val="single"/>
        </w:rPr>
        <w:t>provided</w:t>
      </w:r>
      <w:r>
        <w:rPr>
          <w:color w:val="000000"/>
          <w:spacing w:val="-2"/>
          <w:sz w:val="24"/>
        </w:rPr>
        <w:t xml:space="preserve">, </w:t>
      </w:r>
      <w:r>
        <w:rPr>
          <w:i/>
          <w:color w:val="000000"/>
          <w:spacing w:val="-2"/>
          <w:sz w:val="24"/>
          <w:u w:val="single"/>
        </w:rPr>
        <w:t>however</w:t>
      </w:r>
      <w:r>
        <w:rPr>
          <w:color w:val="000000"/>
          <w:spacing w:val="-2"/>
          <w:sz w:val="24"/>
        </w:rPr>
        <w:t>, that if a Credit Event occurs or continues with respect to Party A, then the Threshold for Party A shall be zero.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2160" w:end="0"/>
        <w:rPr>
          <w:b/>
          <w:i/>
          <w:i/>
          <w:color w:val="000000"/>
          <w:spacing w:val="-2"/>
          <w:sz w:val="24"/>
        </w:rPr>
      </w:pPr>
      <w:r>
        <w:rPr>
          <w:b/>
          <w:i/>
          <w:color w:val="000000"/>
          <w:spacing w:val="-2"/>
          <w:sz w:val="24"/>
        </w:rPr>
      </w:r>
    </w:p>
    <w:p>
      <w:pPr>
        <w:pStyle w:val="Normal"/>
        <w:ind w:hanging="720" w:start="2160" w:end="0"/>
        <w:jc w:val="both"/>
        <w:rPr/>
      </w:pPr>
      <w:r>
        <w:rPr>
          <w:b/>
          <w:i/>
          <w:color w:val="000000"/>
          <w:spacing w:val="-2"/>
          <w:sz w:val="24"/>
        </w:rPr>
        <w:tab/>
      </w:r>
      <w:r>
        <w:rPr>
          <w:color w:val="000000"/>
          <w:spacing w:val="-2"/>
          <w:sz w:val="24"/>
        </w:rPr>
        <w:t xml:space="preserve">with respect to Party B, </w:t>
      </w:r>
      <w:r>
        <w:rPr>
          <w:color w:val="000000"/>
          <w:spacing w:val="-2"/>
          <w:sz w:val="24"/>
          <w:highlight w:val="lightGray"/>
        </w:rPr>
        <w:t>USD $ [to be determined by credit</w:t>
      </w:r>
      <w:r>
        <w:rPr>
          <w:color w:val="000000"/>
          <w:spacing w:val="-2"/>
          <w:sz w:val="24"/>
        </w:rPr>
        <w:t xml:space="preserve">] if, at the time, Party B is not a Defaulting Party, and zero if, at the time, Party B is a Defaulting Party; </w:t>
      </w:r>
      <w:r>
        <w:rPr>
          <w:i/>
          <w:color w:val="000000"/>
          <w:spacing w:val="-2"/>
          <w:sz w:val="24"/>
          <w:u w:val="single"/>
        </w:rPr>
        <w:t>provided</w:t>
      </w:r>
      <w:r>
        <w:rPr>
          <w:color w:val="000000"/>
          <w:spacing w:val="-2"/>
          <w:sz w:val="24"/>
        </w:rPr>
        <w:t xml:space="preserve">, </w:t>
      </w:r>
      <w:r>
        <w:rPr>
          <w:i/>
          <w:color w:val="000000"/>
          <w:spacing w:val="-2"/>
          <w:sz w:val="24"/>
          <w:u w:val="single"/>
        </w:rPr>
        <w:t>however</w:t>
      </w:r>
      <w:r>
        <w:rPr>
          <w:color w:val="000000"/>
          <w:spacing w:val="-2"/>
          <w:sz w:val="24"/>
        </w:rPr>
        <w:t>, that if a Credit Event occurs or continues with respect to Party B, then the Threshold for Party B shall be zero.</w:t>
      </w:r>
    </w:p>
    <w:p>
      <w:pPr>
        <w:pStyle w:val="Normal"/>
        <w:ind w:hanging="720" w:start="1440" w:end="0"/>
        <w:jc w:val="both"/>
        <w:rPr>
          <w:color w:val="000000"/>
          <w:spacing w:val="-2"/>
          <w:sz w:val="24"/>
        </w:rPr>
      </w:pPr>
      <w:r>
        <w:rPr>
          <w:color w:val="000000"/>
          <w:spacing w:val="-2"/>
          <w:sz w:val="24"/>
        </w:rPr>
      </w:r>
    </w:p>
    <w:p>
      <w:pPr>
        <w:pStyle w:val="BodyTextIndent"/>
        <w:ind w:hanging="0" w:start="2160" w:end="0"/>
        <w:rPr/>
      </w:pPr>
      <w:r>
        <w:rPr>
          <w:b/>
        </w:rPr>
        <w:t>“</w:t>
      </w:r>
      <w:r>
        <w:rPr>
          <w:b/>
        </w:rPr>
        <w:t xml:space="preserve">Credit Event”.  </w:t>
      </w:r>
      <w:r>
        <w:rPr/>
        <w:t>If a Party has reasonable grounds to believe that the other Party’s creditworthiness or performance under this Agreement has become unsatisfactory.</w:t>
      </w:r>
    </w:p>
    <w:p>
      <w:pPr>
        <w:pStyle w:val="Normal"/>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2160" w:start="2160" w:end="0"/>
        <w:rPr/>
      </w:pPr>
      <w:r>
        <w:rPr>
          <w:color w:val="000000"/>
          <w:sz w:val="24"/>
        </w:rPr>
        <w:tab/>
        <w:tab/>
        <w:t>(C)</w:t>
      </w:r>
      <w:r>
        <w:rPr>
          <w:b/>
          <w:i/>
          <w:color w:val="000000"/>
          <w:sz w:val="24"/>
        </w:rPr>
        <w:tab/>
        <w:t>“Minimum Transfer Amount”</w:t>
      </w:r>
      <w:r>
        <w:rPr>
          <w:color w:val="000000"/>
          <w:sz w:val="24"/>
        </w:rPr>
        <w:t xml:space="preserve"> means with respect to both Party A and Party B USD $100,000 subject to the following: (i) if the Party is a Defaulting Party at the time, its Minimum Transfer Amount will be zero; and (ii) if (a) a Secured Party is holding Posted Credit Support at the time, (b) the Credit Support Amount, at that time, for that Secured Party is, or is deemed to be, zero and (c) but for its Minimum Transfer Amount, that Secured Party would be required to make a Transfer to the Pledgor under Paragraph 3(b), then and in that event, the Minimum Transfer Amount for that Secured Party will be zero.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2160" w:start="2160" w:end="0"/>
        <w:rPr/>
      </w:pPr>
      <w:r>
        <w:rPr>
          <w:color w:val="000000"/>
          <w:sz w:val="24"/>
        </w:rPr>
        <w:tab/>
        <w:tab/>
        <w:t>(D)</w:t>
      </w:r>
      <w:r>
        <w:rPr>
          <w:b/>
          <w:i/>
          <w:color w:val="000000"/>
          <w:sz w:val="24"/>
        </w:rPr>
        <w:tab/>
        <w:t>“Rounding”</w:t>
      </w:r>
      <w:r>
        <w:rPr>
          <w:color w:val="000000"/>
          <w:sz w:val="24"/>
        </w:rPr>
        <w:t xml:space="preserve"> means the Delivery Amount, if a positive number, will be rounded up to the nearest integral multiple of USD $10,000, and the Return Amount, if a positive number, will be rounded down to the nearest integral multiple of USD $10,000 or to zero, if the Return Amount is less than USD $10,000.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t>(c)</w:t>
      </w:r>
      <w:r>
        <w:rPr>
          <w:b/>
          <w:i/>
          <w:color w:val="000000"/>
          <w:sz w:val="24"/>
        </w:rPr>
        <w:tab/>
        <w:t>Valuation and Timing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numPr>
          <w:ilvl w:val="0"/>
          <w:numId w:val="6"/>
        </w:numPr>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w:t>
      </w:r>
      <w:r>
        <w:rPr>
          <w:b/>
          <w:i/>
          <w:color w:val="000000"/>
          <w:sz w:val="24"/>
        </w:rPr>
        <w:t>Valuation Agent”</w:t>
      </w:r>
      <w:r>
        <w:rPr>
          <w:color w:val="000000"/>
          <w:sz w:val="24"/>
        </w:rPr>
        <w:t xml:space="preserve"> means Party A unless (i) Party A fails to perform its obligations as Valuation Agent under Paragraph 4(c) or Paragraph 6(d) in a timely manner, (ii) an Event of Default has occurred and is continuing with respect to Party A; or (iii) otherwise specified in a Confirmation in relation to the relevant Transaction, in which case Party B is the Valuation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(ii)</w:t>
      </w:r>
      <w:r>
        <w:rPr>
          <w:b/>
          <w:i/>
          <w:color w:val="000000"/>
          <w:sz w:val="24"/>
        </w:rPr>
        <w:tab/>
        <w:t>“Valuation Date”</w:t>
      </w:r>
      <w:r>
        <w:rPr>
          <w:color w:val="000000"/>
          <w:sz w:val="24"/>
        </w:rPr>
        <w:t xml:space="preserve"> means (a) the Trade Date of each Transaction, if either Party has an Independent Amount greater than zero for that Transaction, (b) the last day which is a Business Day in both New York City and Maryland in each month and (c) each other such Business Day designated as a Valuation Date by notice given by one Party to the other no later than the Notification Time on the Local Business Day before the Valuation Date so designated.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(iii)</w:t>
      </w:r>
      <w:r>
        <w:rPr>
          <w:b/>
          <w:i/>
          <w:color w:val="000000"/>
          <w:sz w:val="24"/>
        </w:rPr>
        <w:tab/>
        <w:t>“Valuation Time”</w:t>
      </w:r>
      <w:r>
        <w:rPr>
          <w:color w:val="000000"/>
          <w:sz w:val="24"/>
        </w:rPr>
        <w:t xml:space="preserve"> means the close of business in the city of the Valuation Agent on the Local Business Day in that city immediately preceding the Valuation Date or date of calculation, as applicable; </w:t>
      </w:r>
      <w:r>
        <w:rPr>
          <w:i/>
          <w:color w:val="000000"/>
          <w:sz w:val="24"/>
          <w:u w:val="single"/>
        </w:rPr>
        <w:t>provided</w:t>
      </w:r>
      <w:r>
        <w:rPr>
          <w:color w:val="000000"/>
          <w:sz w:val="24"/>
        </w:rPr>
        <w:t xml:space="preserve">, </w:t>
      </w:r>
      <w:r>
        <w:rPr>
          <w:i/>
          <w:color w:val="000000"/>
          <w:sz w:val="24"/>
          <w:u w:val="single"/>
        </w:rPr>
        <w:t>however</w:t>
      </w:r>
      <w:r>
        <w:rPr>
          <w:color w:val="000000"/>
          <w:sz w:val="24"/>
        </w:rPr>
        <w:t xml:space="preserve"> that the calculations of Value and Exposure will be made as of approximately the same time on the same date.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(iv)</w:t>
      </w:r>
      <w:r>
        <w:rPr>
          <w:b/>
          <w:i/>
          <w:color w:val="000000"/>
          <w:sz w:val="24"/>
        </w:rPr>
        <w:tab/>
        <w:t>“Notification Time”</w:t>
      </w:r>
      <w:r>
        <w:rPr>
          <w:color w:val="000000"/>
          <w:sz w:val="24"/>
        </w:rPr>
        <w:t xml:space="preserve"> means: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2160" w:start="2160" w:end="0"/>
        <w:rPr>
          <w:color w:val="000000"/>
          <w:sz w:val="24"/>
        </w:rPr>
      </w:pPr>
      <w:r>
        <w:rPr>
          <w:color w:val="000000"/>
          <w:sz w:val="24"/>
        </w:rPr>
        <w:tab/>
        <w:tab/>
        <w:t>(A)</w:t>
        <w:tab/>
        <w:t>With respect to the Valuation Agent’s calculations, the Notification Time will be 1:00 p.m., New York time, on a Local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2160" w:start="2160" w:end="0"/>
        <w:rPr>
          <w:color w:val="000000"/>
          <w:sz w:val="24"/>
        </w:rPr>
      </w:pPr>
      <w:r>
        <w:rPr>
          <w:color w:val="000000"/>
          <w:sz w:val="24"/>
        </w:rPr>
        <w:tab/>
        <w:tab/>
        <w:t>(B)</w:t>
        <w:tab/>
        <w:t>With respect to the demands for the transfer of Eligible Credit Support, the Notification Time will be 1:00 p.m., New York time, on a Local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numPr>
          <w:ilvl w:val="0"/>
          <w:numId w:val="12"/>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Conditions Precedent and Secured Party’s Rights and Remedies</w:t>
      </w:r>
      <w:r>
        <w:rPr>
          <w:b/>
          <w:color w:val="000000"/>
          <w:sz w:val="24"/>
        </w:rPr>
        <w:t>.</w:t>
      </w:r>
      <w:r>
        <w:rPr>
          <w:color w:val="000000"/>
          <w:sz w:val="24"/>
        </w:rPr>
        <w:t xml:space="preserve">  For purposes of Paragraph 8(a) and Paragraph 8(b), each Termination Event will constitute a Specified Condition with respect to a Pledgor or a Secured Party, respectively, if the Pledgor or Secured Party, respectively, fails to pay when due any amount payable by it in connection with an Early Termination Date designated in connection with that Termination Event.  For all other purposes of this Annex, each Termination Event specified below with respect to a Party will be a “Specified Condition” for that Party: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tbl>
      <w:tblPr>
        <w:tblW w:w="8280" w:type="dxa"/>
        <w:jc w:val="start"/>
        <w:tblInd w:w="30" w:type="dxa"/>
        <w:tblLayout w:type="fixed"/>
        <w:tblCellMar>
          <w:top w:w="0" w:type="dxa"/>
          <w:start w:w="120" w:type="dxa"/>
          <w:bottom w:w="0" w:type="dxa"/>
          <w:end w:w="120" w:type="dxa"/>
        </w:tblCellMar>
      </w:tblPr>
      <w:tblGrid>
        <w:gridCol w:w="4500"/>
        <w:gridCol w:w="1890"/>
        <w:gridCol w:w="1890"/>
      </w:tblGrid>
      <w:tr>
        <w:trPr/>
        <w:tc>
          <w:tcPr>
            <w:tcW w:w="45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napToGrid w:val="false"/>
              <w:spacing w:before="0" w:after="43"/>
              <w:rPr>
                <w:color w:val="000000"/>
                <w:sz w:val="24"/>
              </w:rPr>
            </w:pPr>
            <w:r>
              <w:rPr>
                <w:color w:val="000000"/>
                <w:sz w:val="24"/>
              </w:rPr>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napToGrid w:val="false"/>
              <w:jc w:val="center"/>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b/>
                <w:color w:val="000000"/>
                <w:sz w:val="24"/>
              </w:rPr>
              <w:t>Party A</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napToGrid w:val="false"/>
              <w:jc w:val="center"/>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b/>
                <w:color w:val="000000"/>
                <w:sz w:val="24"/>
              </w:rPr>
              <w:t>Party B</w:t>
            </w:r>
          </w:p>
        </w:tc>
      </w:tr>
      <w:tr>
        <w:trPr/>
        <w:tc>
          <w:tcPr>
            <w:tcW w:w="45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rPr>
                <w:color w:val="000000"/>
                <w:sz w:val="24"/>
              </w:rPr>
            </w:pPr>
            <w:r>
              <w:rPr>
                <w:color w:val="000000"/>
                <w:sz w:val="24"/>
              </w:rPr>
              <w:t xml:space="preserve">    </w:t>
            </w:r>
            <w:r>
              <w:rPr>
                <w:color w:val="000000"/>
                <w:sz w:val="24"/>
              </w:rPr>
              <w:tab/>
              <w:t>Illegality</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[X]</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[X]</w:t>
            </w:r>
          </w:p>
        </w:tc>
      </w:tr>
      <w:tr>
        <w:trPr/>
        <w:tc>
          <w:tcPr>
            <w:tcW w:w="45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rPr>
                <w:color w:val="000000"/>
                <w:sz w:val="24"/>
              </w:rPr>
            </w:pPr>
            <w:r>
              <w:rPr>
                <w:color w:val="000000"/>
                <w:sz w:val="24"/>
              </w:rPr>
              <w:t xml:space="preserve">    </w:t>
            </w:r>
            <w:r>
              <w:rPr>
                <w:color w:val="000000"/>
                <w:sz w:val="24"/>
              </w:rPr>
              <w:tab/>
              <w:t>Tax Event</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 ]</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 ]</w:t>
            </w:r>
          </w:p>
        </w:tc>
      </w:tr>
      <w:tr>
        <w:trPr/>
        <w:tc>
          <w:tcPr>
            <w:tcW w:w="45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rPr>
                <w:color w:val="000000"/>
                <w:sz w:val="24"/>
              </w:rPr>
            </w:pPr>
            <w:r>
              <w:rPr>
                <w:color w:val="000000"/>
                <w:sz w:val="24"/>
              </w:rPr>
              <w:t xml:space="preserve">    </w:t>
            </w:r>
            <w:r>
              <w:rPr>
                <w:color w:val="000000"/>
                <w:sz w:val="24"/>
              </w:rPr>
              <w:tab/>
              <w:t>Tax Event Upon Merger</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 ]</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 ]</w:t>
            </w:r>
          </w:p>
        </w:tc>
      </w:tr>
      <w:tr>
        <w:trPr/>
        <w:tc>
          <w:tcPr>
            <w:tcW w:w="45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rPr>
                <w:color w:val="000000"/>
                <w:sz w:val="24"/>
              </w:rPr>
            </w:pPr>
            <w:r>
              <w:rPr>
                <w:color w:val="000000"/>
                <w:sz w:val="24"/>
              </w:rPr>
              <w:t xml:space="preserve">    </w:t>
            </w:r>
            <w:r>
              <w:rPr>
                <w:color w:val="000000"/>
                <w:sz w:val="24"/>
              </w:rPr>
              <w:tab/>
              <w:t>Credit Event Upon Merger</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[X]</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[X]</w:t>
            </w:r>
          </w:p>
        </w:tc>
      </w:tr>
      <w:tr>
        <w:trPr/>
        <w:tc>
          <w:tcPr>
            <w:tcW w:w="450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rPr>
                <w:color w:val="000000"/>
                <w:sz w:val="24"/>
              </w:rPr>
            </w:pPr>
            <w:r>
              <w:rPr>
                <w:color w:val="000000"/>
                <w:sz w:val="24"/>
              </w:rPr>
              <w:t xml:space="preserve">    </w:t>
            </w:r>
            <w:r>
              <w:rPr>
                <w:color w:val="000000"/>
                <w:sz w:val="24"/>
              </w:rPr>
              <w:tab/>
              <w:t>Additional Termination Event(s):</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 ]</w:t>
            </w:r>
          </w:p>
        </w:tc>
        <w:tc>
          <w:tcPr>
            <w:tcW w:w="189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spacing w:before="0" w:after="43"/>
              <w:jc w:val="center"/>
              <w:rPr>
                <w:color w:val="000000"/>
                <w:sz w:val="24"/>
              </w:rPr>
            </w:pPr>
            <w:r>
              <w:rPr>
                <w:color w:val="000000"/>
                <w:sz w:val="24"/>
              </w:rPr>
              <w:t>[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t>(e)</w:t>
      </w:r>
      <w:r>
        <w:rPr>
          <w:b/>
          <w:i/>
          <w:color w:val="000000"/>
          <w:sz w:val="24"/>
        </w:rPr>
        <w:tab/>
        <w:t>Substitution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(i)</w:t>
      </w:r>
      <w:r>
        <w:rPr>
          <w:b/>
          <w:i/>
          <w:color w:val="000000"/>
          <w:sz w:val="24"/>
        </w:rPr>
        <w:tab/>
        <w:t>“Substitution Date”</w:t>
      </w:r>
      <w:r>
        <w:rPr>
          <w:color w:val="000000"/>
          <w:sz w:val="24"/>
        </w:rPr>
        <w:t xml:space="preserve"> has the meaning specified in Paragraph 4(d)(ii).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(ii)</w:t>
      </w:r>
      <w:r>
        <w:rPr>
          <w:b/>
          <w:i/>
          <w:color w:val="000000"/>
          <w:sz w:val="24"/>
        </w:rPr>
        <w:tab/>
        <w:t>Consent</w:t>
      </w:r>
      <w:r>
        <w:rPr>
          <w:b/>
          <w:color w:val="000000"/>
          <w:sz w:val="24"/>
        </w:rPr>
        <w:t>.</w:t>
      </w:r>
      <w:r>
        <w:rPr>
          <w:color w:val="000000"/>
          <w:sz w:val="24"/>
        </w:rPr>
        <w:t xml:space="preserve"> The Pledgor must obtain the Secured Party’s consent for any substitution pursuant to Paragraph 4(d).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t>(f)</w:t>
      </w:r>
      <w:r>
        <w:rPr>
          <w:b/>
          <w:i/>
          <w:color w:val="000000"/>
          <w:sz w:val="24"/>
        </w:rPr>
        <w:tab/>
        <w:t>Dispute Resolution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(i)</w:t>
      </w:r>
      <w:r>
        <w:rPr>
          <w:b/>
          <w:i/>
          <w:color w:val="000000"/>
          <w:sz w:val="24"/>
        </w:rPr>
        <w:tab/>
        <w:t>“Resolution Time”</w:t>
      </w:r>
      <w:r>
        <w:rPr>
          <w:color w:val="000000"/>
          <w:sz w:val="24"/>
        </w:rPr>
        <w:t xml:space="preserve"> means 1:00 p.m., New York time, on a Local Business Day for both Parties, following the date the Disputing Party gives notice of a dispute pursuant to Paragraph 5.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numPr>
          <w:ilvl w:val="0"/>
          <w:numId w:val="6"/>
        </w:numPr>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Modification.</w:t>
      </w:r>
      <w:r>
        <w:rPr>
          <w:color w:val="000000"/>
          <w:sz w:val="24"/>
        </w:rPr>
        <w:t xml:space="preserve">  Paragraph 5(i)(B) of the Annex is amended by replacing the following language in the sixth and seventh lines thereof: “then the Valuation Agent’s original calculations will be used for that Transaction (or Swap Transaction);” with the following: “then both Party A and Party B will in good faith and in a commercially reasonable manner determine a reasonable Value for the Transactions in dispute.”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b/>
          <w:color w:val="000000"/>
          <w:sz w:val="24"/>
        </w:rPr>
      </w:pPr>
      <w:r>
        <w:rPr>
          <w:b/>
          <w:color w:val="000000"/>
          <w:sz w:val="24"/>
        </w:rPr>
      </w:r>
    </w:p>
    <w:p>
      <w:pPr>
        <w:pStyle w:val="Normal"/>
        <w:numPr>
          <w:ilvl w:val="0"/>
          <w:numId w:val="6"/>
        </w:numPr>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sz w:val="24"/>
        </w:rPr>
        <w:t>Value.</w:t>
      </w:r>
      <w:r>
        <w:rPr>
          <w:sz w:val="24"/>
        </w:rPr>
        <w:t xml:space="preserve">  For the purpose of Paragraphs 5(i)(C) and 5(ii), the Value of Posted Credit Support will be calculated as follows:  with respect to any Eligible Collateral, the sum of (I) (x) the arithmetic average of the bid prices quoted on such date by two or more principal market makers for such Eligible Collateral chosen by the Disputing Party, or (y) if no quotations are available from a principal market maker for such date, the arithmetic average of the bid prices for such date, next preceding such date, on which such quotations were available, in each case, multiplied by the applicable Valuation Percentage, plus (II) the accrued interest on such Eligible Collateral (except to the extent Transferred to a party pursuant to any applicable provision of this Agreement or included in the applicable price referred to in (I) of this clause as of such date).</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b/>
          <w:i/>
          <w:i/>
          <w:color w:val="000000"/>
          <w:sz w:val="24"/>
        </w:rPr>
      </w:pPr>
      <w:r>
        <w:rPr>
          <w:b/>
          <w:i/>
          <w:color w:val="000000"/>
          <w:sz w:val="24"/>
        </w:rPr>
      </w:r>
    </w:p>
    <w:p>
      <w:pPr>
        <w:pStyle w:val="Normal"/>
        <w:numPr>
          <w:ilvl w:val="0"/>
          <w:numId w:val="6"/>
        </w:numPr>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Alternative</w:t>
      </w:r>
      <w:r>
        <w:rPr>
          <w:b/>
          <w:color w:val="000000"/>
          <w:sz w:val="24"/>
        </w:rPr>
        <w:t>.</w:t>
      </w:r>
      <w:r>
        <w:rPr>
          <w:color w:val="000000"/>
          <w:sz w:val="24"/>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made at or before the Notification Time but will be due on the second Local Business Day after the demand if the demand is made after the Notification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t>(g)</w:t>
      </w:r>
      <w:r>
        <w:rPr>
          <w:b/>
          <w:i/>
          <w:color w:val="000000"/>
          <w:sz w:val="24"/>
        </w:rPr>
        <w:tab/>
        <w:t>Holding and Using Posted Collateral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Eligibility to Hold Posted Collateral; Custodians</w:t>
      </w:r>
      <w:r>
        <w:rPr>
          <w:color w:val="000000"/>
          <w:sz w:val="24"/>
        </w:rPr>
        <w:t xml:space="preserve">.  Party A and its Custodian will be entitled to hold Posted Collateral pursuant to Paragraph 6(b); </w:t>
      </w:r>
      <w:r>
        <w:rPr>
          <w:i/>
          <w:color w:val="000000"/>
          <w:sz w:val="24"/>
          <w:u w:val="single"/>
        </w:rPr>
        <w:t>provided</w:t>
      </w:r>
      <w:r>
        <w:rPr>
          <w:color w:val="000000"/>
          <w:sz w:val="24"/>
        </w:rPr>
        <w:t xml:space="preserve"> that the following conditions applicable to it are satisfied: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z w:val="24"/>
        </w:rPr>
      </w:pPr>
      <w:r>
        <w:rPr>
          <w:color w:val="000000"/>
          <w:sz w:val="24"/>
        </w:rPr>
      </w:r>
    </w:p>
    <w:p>
      <w:pPr>
        <w:pStyle w:val="Normal"/>
        <w:tabs>
          <w:tab w:val="left" w:pos="-720" w:leader="none"/>
          <w:tab w:val="left" w:pos="0" w:leader="none"/>
          <w:tab w:val="left" w:pos="720" w:leader="none"/>
          <w:tab w:val="left" w:pos="1440" w:leader="none"/>
        </w:tabs>
        <w:suppressAutoHyphens w:val="true"/>
        <w:spacing w:before="0" w:after="240"/>
        <w:ind w:hanging="2160" w:start="2160" w:end="0"/>
        <w:jc w:val="both"/>
        <w:rPr/>
      </w:pPr>
      <w:r>
        <w:rPr>
          <w:color w:val="000000"/>
          <w:spacing w:val="-2"/>
          <w:sz w:val="24"/>
        </w:rPr>
        <w:tab/>
        <w:tab/>
        <w:t>(A)</w:t>
        <w:tab/>
        <w:t xml:space="preserve">Party A is not a Defaulting Party or an Affected Party in connection with a Specified Condition, neither a Specified Condition nor an Event of Default with respect to Party A has led to the designation of an Early Termination Date, </w:t>
      </w:r>
      <w:r>
        <w:rPr>
          <w:i/>
          <w:color w:val="000000"/>
          <w:spacing w:val="-2"/>
          <w:sz w:val="24"/>
          <w:u w:val="single"/>
        </w:rPr>
        <w:t>provided</w:t>
      </w:r>
      <w:r>
        <w:rPr>
          <w:color w:val="000000"/>
          <w:spacing w:val="-2"/>
          <w:sz w:val="24"/>
        </w:rPr>
        <w:t xml:space="preserve">, </w:t>
      </w:r>
      <w:r>
        <w:rPr>
          <w:i/>
          <w:color w:val="000000"/>
          <w:spacing w:val="-2"/>
          <w:sz w:val="24"/>
          <w:u w:val="single"/>
        </w:rPr>
        <w:t>however</w:t>
      </w:r>
      <w:r>
        <w:rPr>
          <w:color w:val="000000"/>
          <w:spacing w:val="-2"/>
          <w:sz w:val="24"/>
        </w:rPr>
        <w:t>, that in the case of any such Specified Condition, the right to hold Posted Collateral will be reinstated immediately when the other Party has verified that the Specified Condition no longer exists, if an Early Termination Date has not been designated or, if an Early Termination Date has been designated in connection with the Specified Condition, once the Affected Party has discharged its payment obligations, if any under Section 6 of this Agreement in connection with the early termination, if fewer than all Transactions are Affected Transactions.</w:t>
      </w:r>
    </w:p>
    <w:p>
      <w:pPr>
        <w:pStyle w:val="Normal"/>
        <w:tabs>
          <w:tab w:val="left" w:pos="-720" w:leader="none"/>
          <w:tab w:val="left" w:pos="0" w:leader="none"/>
          <w:tab w:val="left" w:pos="720" w:leader="none"/>
          <w:tab w:val="left" w:pos="1440" w:leader="none"/>
        </w:tabs>
        <w:suppressAutoHyphens w:val="true"/>
        <w:spacing w:before="0" w:after="240"/>
        <w:ind w:hanging="2160" w:start="2160" w:end="0"/>
        <w:jc w:val="both"/>
        <w:rPr>
          <w:color w:val="000000"/>
          <w:spacing w:val="-2"/>
          <w:sz w:val="24"/>
        </w:rPr>
      </w:pPr>
      <w:r>
        <w:rPr>
          <w:color w:val="000000"/>
          <w:spacing w:val="-2"/>
          <w:sz w:val="24"/>
        </w:rPr>
        <w:tab/>
        <w:tab/>
        <w:t>(B)</w:t>
        <w:tab/>
        <w:t>Posted Collateral may be held only in the following jurisdictions:</w:t>
      </w:r>
    </w:p>
    <w:p>
      <w:pPr>
        <w:pStyle w:val="Normal"/>
        <w:tabs>
          <w:tab w:val="clear" w:pos="720"/>
          <w:tab w:val="left" w:pos="-720" w:leader="none"/>
        </w:tabs>
        <w:suppressAutoHyphens w:val="true"/>
        <w:spacing w:before="0" w:after="240"/>
        <w:ind w:start="2160" w:end="0"/>
        <w:jc w:val="both"/>
        <w:rPr>
          <w:color w:val="000000"/>
          <w:spacing w:val="-2"/>
          <w:sz w:val="24"/>
        </w:rPr>
      </w:pPr>
      <w:r>
        <w:rPr>
          <w:color w:val="000000"/>
          <w:spacing w:val="-2"/>
          <w:sz w:val="24"/>
        </w:rPr>
        <w:t>New York and Massachusetts.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2160" w:start="2160" w:end="0"/>
        <w:rPr>
          <w:color w:val="000000"/>
          <w:sz w:val="24"/>
        </w:rPr>
      </w:pPr>
      <w:r>
        <w:rPr>
          <w:color w:val="000000"/>
          <w:spacing w:val="-2"/>
          <w:sz w:val="24"/>
        </w:rPr>
        <w:tab/>
        <w:tab/>
        <w:t>(C)</w:t>
        <w:tab/>
        <w:t>The long-term unsubordinated unsecured debt of the Custodian is rated at least within the two highest rating categories of Standard &amp; Poor’s Rating Group or at least within the two highest rating categories of Moody’s Investors Service,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ab/>
        <w:t xml:space="preserve">Initially, the </w:t>
      </w:r>
      <w:r>
        <w:rPr>
          <w:b/>
          <w:color w:val="000000"/>
          <w:sz w:val="24"/>
        </w:rPr>
        <w:t>Custodian</w:t>
      </w:r>
      <w:r>
        <w:rPr>
          <w:color w:val="000000"/>
          <w:sz w:val="24"/>
        </w:rPr>
        <w:t xml:space="preserve"> for Party A </w:t>
      </w:r>
      <w:r>
        <w:rPr>
          <w:color w:val="000000"/>
          <w:spacing w:val="-2"/>
          <w:sz w:val="24"/>
        </w:rPr>
        <w:t>is not applicable.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pacing w:val="-2"/>
          <w:sz w:val="24"/>
        </w:rPr>
      </w:pPr>
      <w:r>
        <w:rPr>
          <w:color w:val="000000"/>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ab/>
        <w:t xml:space="preserve">Party B and its Custodian will be entitled to hold Posted Collateral pursuant to </w:t>
      </w:r>
      <w:r>
        <w:rPr>
          <w:color w:val="000000"/>
          <w:spacing w:val="-2"/>
          <w:sz w:val="24"/>
        </w:rPr>
        <w:t xml:space="preserve">Paragraph 6(b); </w:t>
      </w:r>
      <w:r>
        <w:rPr>
          <w:i/>
          <w:color w:val="000000"/>
          <w:spacing w:val="-2"/>
          <w:sz w:val="24"/>
          <w:u w:val="single"/>
        </w:rPr>
        <w:t>provided</w:t>
      </w:r>
      <w:r>
        <w:rPr>
          <w:color w:val="000000"/>
          <w:sz w:val="24"/>
        </w:rPr>
        <w:t xml:space="preserve"> that the following conditions applicable to it are satisfied: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z w:val="24"/>
        </w:rPr>
      </w:pPr>
      <w:r>
        <w:rPr>
          <w:color w:val="000000"/>
          <w:sz w:val="24"/>
        </w:rPr>
      </w:r>
    </w:p>
    <w:p>
      <w:pPr>
        <w:pStyle w:val="Normal"/>
        <w:tabs>
          <w:tab w:val="left" w:pos="-720" w:leader="none"/>
          <w:tab w:val="left" w:pos="0" w:leader="none"/>
          <w:tab w:val="left" w:pos="720" w:leader="none"/>
          <w:tab w:val="left" w:pos="1440" w:leader="none"/>
        </w:tabs>
        <w:suppressAutoHyphens w:val="true"/>
        <w:spacing w:before="0" w:after="240"/>
        <w:ind w:hanging="2160" w:start="2160" w:end="0"/>
        <w:jc w:val="both"/>
        <w:rPr/>
      </w:pPr>
      <w:r>
        <w:rPr>
          <w:color w:val="000000"/>
          <w:spacing w:val="-2"/>
          <w:sz w:val="24"/>
        </w:rPr>
        <w:tab/>
        <w:tab/>
        <w:t>(A)</w:t>
        <w:tab/>
        <w:t xml:space="preserve">Party B is not a Defaulting Party or an Affected Party in connection with a Specified Condition, neither a Specified Condition nor an Event of Default with respect to Party B has led to the designation of an Early Termination Date, </w:t>
      </w:r>
      <w:r>
        <w:rPr>
          <w:i/>
          <w:color w:val="000000"/>
          <w:spacing w:val="-2"/>
          <w:sz w:val="24"/>
          <w:u w:val="single"/>
        </w:rPr>
        <w:t>provided</w:t>
      </w:r>
      <w:r>
        <w:rPr>
          <w:color w:val="000000"/>
          <w:spacing w:val="-2"/>
          <w:sz w:val="24"/>
        </w:rPr>
        <w:t xml:space="preserve">, </w:t>
      </w:r>
      <w:r>
        <w:rPr>
          <w:i/>
          <w:color w:val="000000"/>
          <w:spacing w:val="-2"/>
          <w:sz w:val="24"/>
          <w:u w:val="single"/>
        </w:rPr>
        <w:t>however</w:t>
      </w:r>
      <w:r>
        <w:rPr>
          <w:color w:val="000000"/>
          <w:spacing w:val="-2"/>
          <w:sz w:val="24"/>
        </w:rPr>
        <w:t>, that in the case of any such Specified Condition, the right to hold Posted Collateral will be reinstated immediately when the other Party has verified that the Specified Condition no longer exists, if an Early Termination Date has not been designated or, if an Early Termination Date has been designated in connection with the Specified Condition, once the Affected Party has discharged its payment obligations, if any under Section 6 of this Agreement in connection with the early termination, if fewer than all Transactions are Affected Transactions.</w:t>
      </w:r>
    </w:p>
    <w:p>
      <w:pPr>
        <w:pStyle w:val="Normal"/>
        <w:tabs>
          <w:tab w:val="left" w:pos="-720" w:leader="none"/>
          <w:tab w:val="left" w:pos="0" w:leader="none"/>
          <w:tab w:val="left" w:pos="720" w:leader="none"/>
          <w:tab w:val="left" w:pos="1440" w:leader="none"/>
        </w:tabs>
        <w:suppressAutoHyphens w:val="true"/>
        <w:spacing w:before="0" w:after="240"/>
        <w:ind w:hanging="2160" w:start="2160" w:end="0"/>
        <w:jc w:val="both"/>
        <w:rPr>
          <w:color w:val="000000"/>
          <w:spacing w:val="-2"/>
          <w:sz w:val="24"/>
        </w:rPr>
      </w:pPr>
      <w:r>
        <w:rPr>
          <w:color w:val="000000"/>
          <w:spacing w:val="-2"/>
          <w:sz w:val="24"/>
        </w:rPr>
        <w:tab/>
        <w:tab/>
        <w:t>(B)</w:t>
        <w:tab/>
        <w:t xml:space="preserve">Posted Collateral may be held only in the following jurisdictions:  </w:t>
      </w:r>
    </w:p>
    <w:p>
      <w:pPr>
        <w:pStyle w:val="Normal"/>
        <w:tabs>
          <w:tab w:val="clear" w:pos="720"/>
          <w:tab w:val="left" w:pos="-720" w:leader="none"/>
        </w:tabs>
        <w:suppressAutoHyphens w:val="true"/>
        <w:spacing w:before="0" w:after="240"/>
        <w:ind w:start="2160" w:end="0"/>
        <w:jc w:val="both"/>
        <w:rPr>
          <w:color w:val="000000"/>
          <w:spacing w:val="-2"/>
          <w:sz w:val="24"/>
        </w:rPr>
      </w:pPr>
      <w:r>
        <w:rPr>
          <w:color w:val="000000"/>
          <w:spacing w:val="-2"/>
          <w:sz w:val="24"/>
        </w:rPr>
        <w:t>New York and Massachusetts.</w:t>
      </w:r>
    </w:p>
    <w:p>
      <w:pPr>
        <w:pStyle w:val="Normal"/>
        <w:numPr>
          <w:ilvl w:val="0"/>
          <w:numId w:val="3"/>
        </w:numPr>
        <w:tabs>
          <w:tab w:val="left" w:pos="0" w:leader="none"/>
          <w:tab w:val="left" w:pos="72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pacing w:val="-2"/>
          <w:sz w:val="24"/>
        </w:rPr>
      </w:pPr>
      <w:r>
        <w:rPr>
          <w:color w:val="000000"/>
          <w:spacing w:val="-2"/>
          <w:sz w:val="24"/>
        </w:rPr>
        <w:t>The Custodian for Party B:  The long-term unsubordinated unsecured debt of the Custodian is rated at least within the two highest rating categories of Standard &amp; Poor’s Rating Group or at least within the two highest rating categories of Moody’s Investors Service,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1440" w:end="0"/>
        <w:rPr>
          <w:color w:val="000000"/>
          <w:spacing w:val="-2"/>
          <w:sz w:val="24"/>
        </w:rPr>
      </w:pPr>
      <w:r>
        <w:rPr>
          <w:color w:val="000000"/>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tab/>
        <w:t xml:space="preserve">Initially, the </w:t>
      </w:r>
      <w:r>
        <w:rPr>
          <w:b/>
          <w:color w:val="000000"/>
          <w:sz w:val="24"/>
        </w:rPr>
        <w:t>Custodian</w:t>
      </w:r>
      <w:r>
        <w:rPr>
          <w:color w:val="000000"/>
          <w:sz w:val="24"/>
        </w:rPr>
        <w:t xml:space="preserve"> for Party B </w:t>
      </w:r>
      <w:r>
        <w:rPr>
          <w:color w:val="000000"/>
          <w:spacing w:val="-2"/>
          <w:sz w:val="24"/>
        </w:rPr>
        <w:t>is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color w:val="000000"/>
          <w:spacing w:val="-2"/>
          <w:sz w:val="24"/>
        </w:rPr>
      </w:pPr>
      <w:r>
        <w:rPr>
          <w:color w:val="000000"/>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ab/>
      </w:r>
      <w:r>
        <w:rPr>
          <w:color w:val="000000"/>
          <w:spacing w:val="-2"/>
          <w:sz w:val="24"/>
        </w:rPr>
        <w:t>(ii)</w:t>
      </w:r>
      <w:r>
        <w:rPr>
          <w:b/>
          <w:i/>
          <w:color w:val="000000"/>
          <w:spacing w:val="-2"/>
          <w:sz w:val="24"/>
        </w:rPr>
        <w:tab/>
        <w:t>Use of Posted Collateral</w:t>
      </w:r>
      <w:r>
        <w:rPr>
          <w:color w:val="000000"/>
          <w:spacing w:val="-2"/>
          <w:sz w:val="24"/>
        </w:rPr>
        <w:t>.  The</w:t>
      </w:r>
      <w:r>
        <w:rPr>
          <w:color w:val="000000"/>
          <w:sz w:val="24"/>
        </w:rPr>
        <w:t xml:space="preserve"> provisions of Paragraph 6(c) will  apply to Party A and Party B; </w:t>
      </w:r>
      <w:r>
        <w:rPr>
          <w:i/>
          <w:color w:val="000000"/>
          <w:sz w:val="24"/>
          <w:u w:val="single"/>
        </w:rPr>
        <w:t>provided</w:t>
      </w:r>
      <w:r>
        <w:rPr>
          <w:color w:val="000000"/>
          <w:sz w:val="24"/>
        </w:rPr>
        <w:t xml:space="preserve">, </w:t>
      </w:r>
      <w:r>
        <w:rPr>
          <w:i/>
          <w:color w:val="000000"/>
          <w:sz w:val="24"/>
          <w:u w:val="single"/>
        </w:rPr>
        <w:t>however</w:t>
      </w:r>
      <w:r>
        <w:rPr>
          <w:i/>
          <w:color w:val="000000"/>
          <w:sz w:val="24"/>
        </w:rPr>
        <w:t>,</w:t>
      </w:r>
      <w:r>
        <w:rPr>
          <w:color w:val="000000"/>
          <w:sz w:val="24"/>
        </w:rPr>
        <w:t xml:space="preserve"> if a Credit Event has occurred with respect to a Party (the “Affected Party”), then (i) Paragraph 6(c)(i) will not apply to the Affected Party and (ii) the Affected Party will cause all Posted Collateral received from the other party to be entered into an escrow account (which may not include property of other parties) pursuant to an escrow agreement reasonably acceptable to the non-Affected Party with a domestic office of a commercial bank (which is not an affiliate of such party) organized under the laws of the United Sates  (or any state or political subdivision thereof) having assets of at least $10 billion and a long tem debt rating or deposit rating of at least A3 from Moody’s and A- from S&amp;P.  The Affected Party shall cause statements concerning the Posted Collateral transferred or delivered by Pledgor to be sent to the Pledgor on request, which may not be made more frequently than once in each calendar month.</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pPr>
      <w:r>
        <w:rPr>
          <w:color w:val="000000"/>
          <w:sz w:val="24"/>
        </w:rPr>
        <w:t>(h)</w:t>
      </w:r>
      <w:r>
        <w:rPr>
          <w:b/>
          <w:i/>
          <w:color w:val="000000"/>
          <w:sz w:val="24"/>
        </w:rPr>
        <w:tab/>
        <w:t>Distributions and Interest Amount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b/>
          <w:i/>
          <w:i/>
          <w:color w:val="000000"/>
          <w:sz w:val="24"/>
        </w:rPr>
      </w:pPr>
      <w:r>
        <w:rPr>
          <w:b/>
          <w:i/>
          <w:color w:val="000000"/>
          <w:sz w:val="24"/>
        </w:rPr>
      </w:r>
    </w:p>
    <w:p>
      <w:pPr>
        <w:pStyle w:val="Normal"/>
        <w:keepLines/>
        <w:numPr>
          <w:ilvl w:val="0"/>
          <w:numId w:val="8"/>
        </w:numPr>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Interest Rate.</w:t>
      </w:r>
      <w:r>
        <w:rPr>
          <w:color w:val="000000"/>
          <w:sz w:val="24"/>
        </w:rPr>
        <w:t xml:space="preserve">  The </w:t>
      </w:r>
      <w:r>
        <w:rPr>
          <w:b/>
          <w:i/>
          <w:color w:val="000000"/>
          <w:sz w:val="24"/>
        </w:rPr>
        <w:t>“Interest Rate”</w:t>
      </w:r>
      <w:r>
        <w:rPr>
          <w:color w:val="000000"/>
          <w:sz w:val="24"/>
        </w:rPr>
        <w:t xml:space="preserve"> for any day, will be the one month US Dollar London Interbank Offered Rate (</w:t>
      </w:r>
      <w:r>
        <w:rPr>
          <w:b/>
          <w:i/>
          <w:color w:val="000000"/>
          <w:sz w:val="24"/>
        </w:rPr>
        <w:t>“LIBOR”</w:t>
      </w:r>
      <w:r>
        <w:rPr>
          <w:color w:val="000000"/>
          <w:sz w:val="24"/>
        </w:rPr>
        <w:t>) as reported in the Federal Reserve Statistical Release G.13, or its successor plus one and one half percent (1.5%).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pacing w:val="-2"/>
          <w:sz w:val="24"/>
        </w:rPr>
      </w:pPr>
      <w:r>
        <w:rPr>
          <w:color w:val="000000"/>
          <w:spacing w:val="-2"/>
          <w:sz w:val="24"/>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1440" w:end="0"/>
        <w:rPr/>
      </w:pPr>
      <w:r>
        <w:rPr>
          <w:color w:val="000000"/>
          <w:spacing w:val="-2"/>
          <w:sz w:val="24"/>
        </w:rPr>
        <w:t>(ii)</w:t>
        <w:tab/>
      </w:r>
      <w:r>
        <w:rPr>
          <w:b/>
          <w:i/>
          <w:color w:val="000000"/>
          <w:spacing w:val="-2"/>
          <w:sz w:val="24"/>
        </w:rPr>
        <w:t>Transfer of</w:t>
      </w:r>
      <w:r>
        <w:rPr>
          <w:color w:val="000000"/>
          <w:sz w:val="24"/>
        </w:rPr>
        <w:t xml:space="preserve"> </w:t>
      </w:r>
      <w:r>
        <w:rPr>
          <w:b/>
          <w:i/>
          <w:color w:val="000000"/>
          <w:sz w:val="24"/>
        </w:rPr>
        <w:t>Interest Amount</w:t>
      </w:r>
      <w:r>
        <w:rPr>
          <w:color w:val="000000"/>
          <w:sz w:val="24"/>
        </w:rPr>
        <w:t xml:space="preserve">.  The </w:t>
      </w:r>
      <w:r>
        <w:rPr>
          <w:color w:val="000000"/>
          <w:spacing w:val="-2"/>
          <w:sz w:val="24"/>
        </w:rPr>
        <w:t xml:space="preserve">Transfer of Interest Amount will be made  (i) on the last Local Business Day of each calendar month, and (ii) on any Local Business Day that Posted Collateral in the form of Cash is Transferred to the Pledgor pursuant to Paragraph </w:t>
      </w:r>
      <w:r>
        <w:rPr>
          <w:color w:val="000000"/>
          <w:sz w:val="24"/>
        </w:rPr>
        <w:t>3(b).</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z w:val="24"/>
        </w:rPr>
      </w:pPr>
      <w:r>
        <w:rPr>
          <w:color w:val="000000"/>
          <w:sz w:val="24"/>
        </w:rPr>
      </w:r>
    </w:p>
    <w:p>
      <w:pPr>
        <w:pStyle w:val="Normal"/>
        <w:numPr>
          <w:ilvl w:val="0"/>
          <w:numId w:val="4"/>
        </w:numPr>
        <w:tabs>
          <w:tab w:val="left" w:pos="0" w:leader="none"/>
          <w:tab w:val="left" w:pos="72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Alternative to Interest Amount</w:t>
      </w:r>
      <w:r>
        <w:rPr>
          <w:color w:val="000000"/>
          <w:sz w:val="24"/>
        </w:rPr>
        <w:t>.  The provisions of Paragraph 6(d)(ii) will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keepLines/>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Additional Representations</w:t>
      </w:r>
      <w:r>
        <w:rPr>
          <w:color w:val="000000"/>
          <w:sz w:val="24"/>
        </w:rPr>
        <w:t>.  Party A and Party B represent to each other (which representations will be deemed to be repeated as of each date on which Party A or Party B, as the Pledgor, Transfers Eligible Collateral) that their respective representations set forth in Section 3 of this Agreement are true and correct.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keepLines/>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b/>
          <w:i/>
          <w:i/>
          <w:color w:val="000000"/>
          <w:sz w:val="24"/>
        </w:rPr>
      </w:pPr>
      <w:r>
        <w:rPr>
          <w:b/>
          <w:i/>
          <w:color w:val="000000"/>
          <w:sz w:val="24"/>
        </w:rPr>
        <w:t>Other Eligible Support and Other Posted Support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b/>
          <w:i/>
          <w:i/>
          <w:color w:val="000000"/>
          <w:sz w:val="24"/>
        </w:rPr>
      </w:pPr>
      <w:r>
        <w:rPr>
          <w:b/>
          <w:i/>
          <w:color w:val="000000"/>
          <w:sz w:val="24"/>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1440" w:end="0"/>
        <w:rPr>
          <w:color w:val="000000"/>
          <w:sz w:val="24"/>
        </w:rPr>
      </w:pPr>
      <w:r>
        <w:rPr>
          <w:color w:val="000000"/>
          <w:spacing w:val="-2"/>
          <w:sz w:val="24"/>
        </w:rPr>
        <w:t>(i)</w:t>
        <w:tab/>
      </w:r>
      <w:r>
        <w:rPr>
          <w:b/>
          <w:i/>
          <w:color w:val="000000"/>
          <w:spacing w:val="-2"/>
          <w:sz w:val="24"/>
        </w:rPr>
        <w:t>“Value”</w:t>
      </w:r>
      <w:r>
        <w:rPr>
          <w:color w:val="000000"/>
          <w:spacing w:val="-2"/>
          <w:sz w:val="24"/>
        </w:rPr>
        <w:t xml:space="preserve"> with respect to Other Eligible Support and Other Posted Support means:  With respect to any letter of credit as of any Valuation Date, the amount then available to be unconditionally drawn upon by the Secured Party; </w:t>
      </w:r>
      <w:r>
        <w:rPr>
          <w:i/>
          <w:color w:val="000000"/>
          <w:spacing w:val="-2"/>
          <w:sz w:val="24"/>
          <w:u w:val="single"/>
        </w:rPr>
        <w:t>provided</w:t>
      </w:r>
      <w:r>
        <w:rPr>
          <w:color w:val="000000"/>
          <w:spacing w:val="-2"/>
          <w:sz w:val="24"/>
        </w:rPr>
        <w:t xml:space="preserve"> that the Value of any letter of credit scheduled to expire in 15 days or less after such Valuation Date shall be deemed to be zero.</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pacing w:val="-2"/>
          <w:sz w:val="24"/>
        </w:rPr>
      </w:pPr>
      <w:r>
        <w:rPr>
          <w:color w:val="000000"/>
          <w:spacing w:val="-2"/>
          <w:sz w:val="24"/>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1440" w:end="0"/>
        <w:rPr/>
      </w:pPr>
      <w:r>
        <w:rPr>
          <w:color w:val="000000"/>
          <w:spacing w:val="-2"/>
          <w:sz w:val="24"/>
        </w:rPr>
        <w:t>(ii)</w:t>
        <w:tab/>
      </w:r>
      <w:r>
        <w:rPr>
          <w:b/>
          <w:i/>
          <w:color w:val="000000"/>
          <w:spacing w:val="-2"/>
          <w:sz w:val="24"/>
        </w:rPr>
        <w:t>“Transfer”</w:t>
      </w:r>
      <w:r>
        <w:rPr>
          <w:color w:val="000000"/>
          <w:spacing w:val="-2"/>
          <w:sz w:val="24"/>
        </w:rPr>
        <w:t xml:space="preserve"> with respect to Other Eligible Support and Other Posted Support means:  With respect to any letter of credit, the creation of an unconditional right of the Secured Party for whose benefit the letter of credit is established to draw upon that letter of credit.</w:t>
      </w:r>
      <w:r>
        <w:rPr>
          <w:color w:val="000000"/>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r>
    </w:p>
    <w:p>
      <w:pPr>
        <w:pStyle w:val="Normal"/>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Demands and Notices.</w:t>
      </w:r>
      <w:r>
        <w:rPr>
          <w:color w:val="000000"/>
          <w:sz w:val="24"/>
        </w:rPr>
        <w:t xml:space="preserve">  All demands, specifications and notices under this Annex will be made pursuant to Part 4 of the Schedule to this Agreement.</w:t>
      </w:r>
    </w:p>
    <w:p>
      <w:pPr>
        <w:pStyle w:val="End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720" w:end="0"/>
        <w:rPr>
          <w:color w:val="000000"/>
          <w:sz w:val="24"/>
        </w:rPr>
      </w:pPr>
      <w:r>
        <w:rPr>
          <w:color w:val="000000"/>
          <w:sz w:val="24"/>
        </w:rPr>
        <w:t>(l)</w:t>
      </w:r>
      <w:r>
        <w:rPr>
          <w:b/>
          <w:i/>
          <w:color w:val="000000"/>
          <w:sz w:val="24"/>
        </w:rPr>
        <w:tab/>
        <w:t>Addresses for Transfers</w:t>
      </w:r>
    </w:p>
    <w:p>
      <w:pPr>
        <w:pStyle w:val="Normal"/>
        <w:tabs>
          <w:tab w:val="left" w:pos="720" w:leader="none"/>
          <w:tab w:val="left" w:pos="2160" w:leader="none"/>
        </w:tabs>
        <w:jc w:val="both"/>
        <w:rPr>
          <w:color w:val="000000"/>
          <w:sz w:val="24"/>
        </w:rPr>
      </w:pPr>
      <w:r>
        <w:rPr>
          <w:color w:val="000000"/>
          <w:sz w:val="24"/>
        </w:rPr>
      </w:r>
    </w:p>
    <w:p>
      <w:pPr>
        <w:pStyle w:val="Normal"/>
        <w:tabs>
          <w:tab w:val="left" w:pos="720" w:leader="none"/>
          <w:tab w:val="left" w:pos="2160" w:leader="none"/>
        </w:tabs>
        <w:jc w:val="both"/>
        <w:rPr>
          <w:color w:val="000000"/>
          <w:sz w:val="24"/>
        </w:rPr>
      </w:pPr>
      <w:r>
        <w:rPr>
          <w:color w:val="000000"/>
          <w:sz w:val="24"/>
        </w:rPr>
        <w:tab/>
        <w:t>Party A:</w:t>
        <w:tab/>
        <w:t>Mellon Financial</w:t>
      </w:r>
    </w:p>
    <w:p>
      <w:pPr>
        <w:pStyle w:val="Normal"/>
        <w:tabs>
          <w:tab w:val="left" w:pos="720" w:leader="none"/>
          <w:tab w:val="left" w:pos="2160" w:leader="none"/>
        </w:tabs>
        <w:jc w:val="both"/>
        <w:rPr>
          <w:color w:val="000000"/>
          <w:sz w:val="24"/>
        </w:rPr>
      </w:pPr>
      <w:r>
        <w:rPr>
          <w:color w:val="000000"/>
          <w:sz w:val="24"/>
        </w:rPr>
        <w:tab/>
        <w:tab/>
        <w:t>Account Title:  PG&amp;E Energy Trading-Power, L.P.</w:t>
      </w:r>
    </w:p>
    <w:p>
      <w:pPr>
        <w:pStyle w:val="Normal"/>
        <w:tabs>
          <w:tab w:val="left" w:pos="720" w:leader="none"/>
          <w:tab w:val="left" w:pos="2160" w:leader="none"/>
        </w:tabs>
        <w:jc w:val="both"/>
        <w:rPr>
          <w:color w:val="000000"/>
          <w:sz w:val="24"/>
        </w:rPr>
      </w:pPr>
      <w:r>
        <w:rPr>
          <w:color w:val="000000"/>
          <w:sz w:val="24"/>
        </w:rPr>
        <w:tab/>
        <w:tab/>
        <w:t>ABA No.:  011 001 234</w:t>
      </w:r>
    </w:p>
    <w:p>
      <w:pPr>
        <w:pStyle w:val="Normal"/>
        <w:tabs>
          <w:tab w:val="left" w:pos="720" w:leader="none"/>
          <w:tab w:val="left" w:pos="2160" w:leader="none"/>
        </w:tabs>
        <w:jc w:val="both"/>
        <w:rPr>
          <w:color w:val="000000"/>
          <w:sz w:val="24"/>
        </w:rPr>
      </w:pPr>
      <w:r>
        <w:rPr>
          <w:color w:val="000000"/>
          <w:sz w:val="24"/>
        </w:rPr>
        <w:tab/>
        <w:tab/>
        <w:t>Account No.:  145513</w:t>
      </w:r>
    </w:p>
    <w:p>
      <w:pPr>
        <w:pStyle w:val="Normal"/>
        <w:tabs>
          <w:tab w:val="left" w:pos="720" w:leader="none"/>
          <w:tab w:val="left" w:pos="2160" w:leader="none"/>
        </w:tabs>
        <w:jc w:val="both"/>
        <w:rPr>
          <w:color w:val="000000"/>
          <w:sz w:val="24"/>
        </w:rPr>
      </w:pPr>
      <w:r>
        <w:rPr>
          <w:color w:val="000000"/>
          <w:sz w:val="24"/>
        </w:rPr>
      </w:r>
    </w:p>
    <w:p>
      <w:pPr>
        <w:pStyle w:val="Normal"/>
        <w:tabs>
          <w:tab w:val="left" w:pos="720" w:leader="none"/>
          <w:tab w:val="left" w:pos="2160" w:leader="none"/>
        </w:tabs>
        <w:jc w:val="both"/>
        <w:rPr/>
      </w:pPr>
      <w:r>
        <w:rPr>
          <w:color w:val="000000"/>
          <w:sz w:val="24"/>
        </w:rPr>
        <w:tab/>
        <w:t>Party B:</w:t>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keepNext w:val="true"/>
        <w:keepLines/>
        <w:tabs>
          <w:tab w:val="left" w:pos="0" w:leader="none"/>
          <w:tab w:val="left" w:pos="720" w:leader="none"/>
          <w:tab w:val="left" w:pos="1440" w:leader="none"/>
          <w:tab w:val="left" w:pos="2160" w:leader="none"/>
        </w:tabs>
        <w:suppressAutoHyphens w:val="true"/>
        <w:rPr/>
      </w:pPr>
      <w:r>
        <w:rPr>
          <w:color w:val="000000"/>
          <w:sz w:val="24"/>
        </w:rPr>
        <w:tab/>
        <w:tab/>
        <w:tab/>
      </w:r>
      <w:r>
        <w:rPr>
          <w:color w:val="000000"/>
          <w:sz w:val="24"/>
          <w:u w:val="single"/>
        </w:rPr>
        <w:tab/>
        <w:tab/>
        <w:tab/>
        <w:tab/>
        <w:tab/>
      </w:r>
    </w:p>
    <w:p>
      <w:pPr>
        <w:pStyle w:val="Normal"/>
        <w:tabs>
          <w:tab w:val="clear" w:pos="720"/>
          <w:tab w:val="left" w:pos="1710" w:leader="none"/>
        </w:tabs>
        <w:jc w:val="both"/>
        <w:rPr>
          <w:color w:val="000000"/>
          <w:sz w:val="24"/>
          <w:u w:val="single"/>
        </w:rPr>
      </w:pPr>
      <w:r>
        <w:rPr>
          <w:color w:val="000000"/>
          <w:sz w:val="24"/>
          <w:u w:val="single"/>
        </w:rPr>
      </w:r>
    </w:p>
    <w:p>
      <w:pPr>
        <w:pStyle w:val="Normal"/>
        <w:numPr>
          <w:ilvl w:val="0"/>
          <w:numId w:val="14"/>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b/>
          <w:i/>
          <w:color w:val="000000"/>
          <w:sz w:val="24"/>
        </w:rPr>
        <w:t>Other Provisions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b/>
          <w:i/>
          <w:i/>
          <w:color w:val="000000"/>
          <w:sz w:val="24"/>
        </w:rPr>
      </w:pPr>
      <w:r>
        <w:rPr>
          <w:b/>
          <w:i/>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1440" w:start="1440" w:end="0"/>
        <w:rPr/>
      </w:pPr>
      <w:r>
        <w:rPr>
          <w:color w:val="000000"/>
          <w:sz w:val="24"/>
        </w:rPr>
        <w:t xml:space="preserve"> </w:t>
      </w:r>
      <w:r>
        <w:rPr>
          <w:color w:val="000000"/>
          <w:sz w:val="24"/>
        </w:rPr>
        <w:tab/>
        <w:t>(i)</w:t>
        <w:tab/>
      </w:r>
      <w:r>
        <w:rPr>
          <w:b/>
          <w:color w:val="000000"/>
          <w:sz w:val="24"/>
        </w:rPr>
        <w:t>Taxes in Connection with Interest Amounts.</w:t>
      </w:r>
      <w:r>
        <w:rPr>
          <w:color w:val="000000"/>
          <w:sz w:val="24"/>
        </w:rPr>
        <w:t xml:space="preserve">  Notwithstanding anything to the contrary in this Agreement, neither Party makes any Payer Tax Representation referred to in Section 3(e) of this Agreement with respect to any Interest Amount it is required to Transfer under this Annex, and neither Party will be entitled to designate an Early Termination Date on the Ground of any Tax Event resulting from the Party’s obligation to pay additional amounts in respect of Indemnifiable Taxes imposed with respect to any such Interest Amount.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z w:val="24"/>
        </w:rPr>
      </w:pPr>
      <w:r>
        <w:rPr>
          <w:color w:val="000000"/>
          <w:sz w:val="24"/>
        </w:rPr>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1440" w:end="0"/>
        <w:rPr>
          <w:color w:val="000000"/>
          <w:sz w:val="24"/>
        </w:rPr>
      </w:pPr>
      <w:r>
        <w:rPr>
          <w:b/>
          <w:color w:val="000000"/>
          <w:sz w:val="24"/>
        </w:rPr>
        <w:t>Set off.</w:t>
      </w:r>
      <w:r>
        <w:rPr>
          <w:color w:val="000000"/>
          <w:sz w:val="24"/>
        </w:rPr>
        <w:t xml:space="preserve">  For purposes of Paragraphs 2 and 8(a)(iii) of this Annex, the reference to any amount payable under Section 6 of this Agreement in the definition of “Set-off” in this Agreement shall be deemed a reference to any amount payable with respect to any Obligation, as described in Paragraph 8(a)(iii) of this Annex.</w:t>
      </w:r>
    </w:p>
    <w:p>
      <w:pPr>
        <w:pStyle w:val="EndnoteText"/>
        <w:widowControl/>
        <w:tabs>
          <w:tab w:val="clear" w:pos="720"/>
          <w:tab w:val="left" w:pos="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1440" w:end="0"/>
        <w:rPr>
          <w:color w:val="000000"/>
          <w:sz w:val="24"/>
        </w:rPr>
      </w:pPr>
      <w:r>
        <w:rPr>
          <w:b/>
          <w:color w:val="000000"/>
          <w:sz w:val="24"/>
        </w:rPr>
        <w:t>Local Business Day.</w:t>
      </w:r>
      <w:r>
        <w:rPr>
          <w:color w:val="000000"/>
          <w:sz w:val="24"/>
        </w:rPr>
        <w:t xml:space="preserve">  For purposes of this Annex, Local Business Day means a day on which commercial banks are open for business in the jurisdiction of both the Secured Party and the Pledgor.</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1440" w:end="0"/>
        <w:rPr>
          <w:color w:val="000000"/>
          <w:sz w:val="24"/>
        </w:rPr>
      </w:pPr>
      <w:r>
        <w:rPr>
          <w:b/>
          <w:color w:val="000000"/>
          <w:sz w:val="24"/>
        </w:rPr>
        <w:t>Paragraph 7</w:t>
      </w:r>
      <w:r>
        <w:rPr>
          <w:color w:val="000000"/>
          <w:sz w:val="24"/>
        </w:rPr>
        <w:t>.  Subparagraph (i) of Paragraph 7 is amended to read as follows: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numPr>
          <w:ilvl w:val="0"/>
          <w:numId w:val="13"/>
        </w:numPr>
        <w:tabs>
          <w:tab w:val="clear" w:pos="720"/>
          <w:tab w:val="left" w:pos="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t xml:space="preserve">that party fails (or fails to cause its Custodian) to make when due, any Transfer of Eligible Collateral, Posted Collateral or the Interest Amount, as applicable, required to be made by it and that failure continues for two Local Business Days after notice of that failure is given to that party; </w:t>
      </w:r>
      <w:r>
        <w:rPr>
          <w:i/>
          <w:color w:val="000000"/>
          <w:sz w:val="24"/>
        </w:rPr>
        <w:t>provided, however, that if a Credit Event has occurred with respect to a party, then an Event of Default will exist immediately upon notice of such failure given to such  party</w:t>
      </w:r>
      <w:r>
        <w:rPr>
          <w:color w:val="000000"/>
          <w:sz w:val="24"/>
        </w:rPr>
        <w: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1440" w:end="0"/>
        <w:rPr>
          <w:color w:val="000000"/>
          <w:sz w:val="24"/>
        </w:rPr>
      </w:pPr>
      <w:r>
        <w:rPr>
          <w:color w:val="000000"/>
          <w:sz w:val="24"/>
        </w:rPr>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hanging="720" w:start="1440" w:end="0"/>
        <w:rPr>
          <w:color w:val="000000"/>
          <w:sz w:val="24"/>
        </w:rPr>
      </w:pPr>
      <w:r>
        <w:rPr>
          <w:b/>
          <w:color w:val="000000"/>
          <w:sz w:val="24"/>
        </w:rPr>
        <w:t xml:space="preserve">Paragraph 8(d).  </w:t>
      </w:r>
      <w:r>
        <w:rPr>
          <w:color w:val="000000"/>
          <w:sz w:val="24"/>
        </w:rPr>
        <w:t>Paragraph 8(d) is amended to read as follows: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z w:val="24"/>
        </w:rPr>
      </w:pPr>
      <w:r>
        <w:rPr>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color w:val="000000"/>
          <w:sz w:val="24"/>
        </w:rPr>
        <w:t>(d)</w:t>
      </w:r>
      <w:r>
        <w:rPr>
          <w:b/>
          <w:color w:val="000000"/>
          <w:sz w:val="24"/>
        </w:rPr>
        <w:t xml:space="preserve"> </w:t>
        <w:tab/>
        <w:t>Final Returns.</w:t>
      </w:r>
      <w:r>
        <w:rPr>
          <w:color w:val="000000"/>
          <w:sz w:val="24"/>
        </w:rPr>
        <w:t xml:space="preserve">  </w:t>
      </w:r>
      <w:r>
        <w:rPr>
          <w:sz w:val="24"/>
        </w:rPr>
        <w:t>When no amounts are or thereafter may become payable by the Pledgor with respect to any Obligations under any existing Transactions; or, at any given time there are no outstanding Transactions under this Agreement and no amounts are payable by the Pledgor (in both cases, except any potential liability under Section 2(d) of this Agreement), the Secured Party will Transfer to the Pledgor all Posted Credit Support and the Interest Amount, if 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Univers;Arial" w:hAnsi="Univers;Arial" w:cs="Univers;Arial"/>
          <w:sz w:val="24"/>
        </w:rPr>
      </w:pPr>
      <w:r>
        <w:rPr>
          <w:rFonts w:cs="Univers;Arial" w:ascii="Univers;Arial" w:hAnsi="Univers;Arial"/>
          <w:sz w:val="24"/>
        </w:rPr>
      </w:r>
    </w:p>
    <w:p>
      <w:pPr>
        <w:pStyle w:val="Normal"/>
        <w:tabs>
          <w:tab w:val="clear" w:pos="720"/>
          <w:tab w:val="left" w:pos="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rPr>
          <w:rFonts w:ascii="Univers;Arial" w:hAnsi="Univers;Arial" w:cs="Univers;Arial"/>
          <w:color w:val="000000"/>
          <w:sz w:val="24"/>
        </w:rPr>
      </w:pPr>
      <w:r>
        <w:rPr>
          <w:rFonts w:cs="Univers;Arial" w:ascii="Univers;Arial" w:hAnsi="Univers;Arial"/>
          <w:color w:val="000000"/>
          <w:sz w:val="24"/>
        </w:rPr>
      </w:r>
    </w:p>
    <w:p>
      <w:pPr>
        <w:pStyle w:val="Normal"/>
        <w:tabs>
          <w:tab w:val="clear" w:pos="720"/>
          <w:tab w:val="left" w:pos="0" w:leader="none"/>
          <w:tab w:val="left" w:pos="1440" w:leader="none"/>
          <w:tab w:val="left" w:pos="2880" w:leader="none"/>
          <w:tab w:val="left" w:pos="3600" w:leader="none"/>
          <w:tab w:val="left" w:pos="4320" w:leader="none"/>
          <w:tab w:val="left" w:pos="5040" w:leader="none"/>
          <w:tab w:val="center" w:pos="7200" w:leader="none"/>
          <w:tab w:val="left" w:pos="9342" w:leader="none"/>
        </w:tabs>
        <w:suppressAutoHyphens w:val="true"/>
        <w:ind w:start="720" w:end="0"/>
        <w:rPr>
          <w:color w:val="000000"/>
          <w:sz w:val="24"/>
        </w:rPr>
      </w:pPr>
      <w:r>
        <w:rPr>
          <w:color w:val="000000"/>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pPr>
      <w:r>
        <w:rPr>
          <w:b/>
          <w:color w:val="000000"/>
          <w:sz w:val="24"/>
        </w:rPr>
        <w:t>IN WITNESS WHEREOF</w:t>
      </w:r>
      <w:r>
        <w:rPr>
          <w:color w:val="000000"/>
          <w:sz w:val="24"/>
        </w:rPr>
        <w:t>, the parties have executed this document by their duly authorized officers as of the date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4"/>
        </w:rPr>
      </w:pPr>
      <w:r>
        <w:rPr>
          <w:color w:val="000000"/>
          <w:sz w:val="24"/>
        </w:rPr>
      </w:r>
    </w:p>
    <w:p>
      <w:pPr>
        <w:pStyle w:val="Normal"/>
        <w:tabs>
          <w:tab w:val="clear" w:pos="720"/>
          <w:tab w:val="left" w:pos="0" w:leader="none"/>
          <w:tab w:val="left" w:pos="3780" w:leader="none"/>
        </w:tabs>
        <w:suppressAutoHyphens w:val="true"/>
        <w:spacing w:lineRule="exact" w:line="320"/>
        <w:jc w:val="both"/>
        <w:rPr>
          <w:rFonts w:ascii="Times New Roman Bold;Times New Roman" w:hAnsi="Times New Roman Bold;Times New Roman" w:cs="Times New Roman Bold;Times New Roman"/>
          <w:b/>
          <w:color w:val="000000"/>
          <w:spacing w:val="-2"/>
          <w:sz w:val="24"/>
        </w:rPr>
      </w:pPr>
      <w:r>
        <w:rPr>
          <w:rFonts w:cs="Times New Roman Bold;Times New Roman" w:ascii="Times New Roman Bold;Times New Roman" w:hAnsi="Times New Roman Bold;Times New Roman"/>
          <w:b/>
          <w:color w:val="000000"/>
          <w:spacing w:val="-2"/>
          <w:sz w:val="24"/>
        </w:rPr>
        <w:tab/>
        <w:t>PG&amp;E ENERGY TRADING – POWER, L.P.</w:t>
      </w:r>
    </w:p>
    <w:p>
      <w:pPr>
        <w:pStyle w:val="Heading2"/>
        <w:tabs>
          <w:tab w:val="clear" w:pos="4320"/>
          <w:tab w:val="left" w:pos="0" w:leader="none"/>
          <w:tab w:val="left" w:pos="3780" w:leader="none"/>
        </w:tabs>
        <w:ind w:hanging="0" w:start="0"/>
        <w:rPr/>
      </w:pPr>
      <w:r>
        <w:rPr>
          <w:rFonts w:cs="Times New Roman Bold;Times New Roman" w:ascii="Times New Roman Bold;Times New Roman" w:hAnsi="Times New Roman Bold;Times New Roman"/>
          <w:caps w:val="false"/>
          <w:smallCaps w:val="false"/>
          <w:color w:val="000000"/>
        </w:rPr>
        <w:tab/>
      </w:r>
      <w:r>
        <w:rPr>
          <w:rFonts w:cs="Times New Roman Bold;Times New Roman" w:ascii="Times New Roman Bold;Times New Roman" w:hAnsi="Times New Roman Bold;Times New Roman"/>
          <w:b w:val="false"/>
          <w:caps w:val="false"/>
          <w:smallCaps w:val="false"/>
          <w:color w:val="000000"/>
        </w:rPr>
        <w:t xml:space="preserve">By:  PG&amp;E Energy Trading Holdings </w:t>
      </w:r>
    </w:p>
    <w:p>
      <w:pPr>
        <w:pStyle w:val="Heading2"/>
        <w:tabs>
          <w:tab w:val="clear" w:pos="4320"/>
          <w:tab w:val="left" w:pos="0" w:leader="none"/>
          <w:tab w:val="left" w:pos="3780" w:leader="none"/>
          <w:tab w:val="left" w:pos="3870" w:leader="none"/>
        </w:tabs>
        <w:ind w:hanging="0" w:start="0"/>
        <w:rPr>
          <w:rFonts w:ascii="Times New Roman Bold;Times New Roman" w:hAnsi="Times New Roman Bold;Times New Roman" w:cs="Times New Roman Bold;Times New Roman"/>
          <w:b w:val="false"/>
          <w:caps w:val="false"/>
          <w:smallCaps w:val="false"/>
          <w:color w:val="000000"/>
        </w:rPr>
      </w:pPr>
      <w:r>
        <w:rPr>
          <w:rFonts w:cs="Times New Roman Bold;Times New Roman" w:ascii="Times New Roman Bold;Times New Roman" w:hAnsi="Times New Roman Bold;Times New Roman"/>
          <w:b w:val="false"/>
          <w:caps w:val="false"/>
          <w:smallCaps w:val="false"/>
          <w:color w:val="000000"/>
        </w:rPr>
        <w:tab/>
        <w:t>Corporation, its sole general partner</w:t>
      </w:r>
    </w:p>
    <w:p>
      <w:pPr>
        <w:pStyle w:val="Normal"/>
        <w:rPr>
          <w:rFonts w:ascii="Times New Roman Bold;Times New Roman" w:hAnsi="Times New Roman Bold;Times New Roman" w:cs="Times New Roman Bold;Times New Roman"/>
          <w:b/>
          <w:smallCaps/>
          <w:color w:val="000000"/>
        </w:rPr>
      </w:pPr>
      <w:r>
        <w:rPr>
          <w:rFonts w:cs="Times New Roman Bold;Times New Roman" w:ascii="Times New Roman Bold;Times New Roman" w:hAnsi="Times New Roman Bold;Times New Roman"/>
          <w:b/>
          <w:smallCaps/>
          <w:color w:val="000000"/>
        </w:rPr>
      </w:r>
    </w:p>
    <w:p>
      <w:pPr>
        <w:pStyle w:val="Normal"/>
        <w:tabs>
          <w:tab w:val="clear" w:pos="720"/>
          <w:tab w:val="left" w:pos="0" w:leader="none"/>
          <w:tab w:val="left" w:pos="3780" w:leader="none"/>
          <w:tab w:val="left" w:pos="8820" w:leader="none"/>
        </w:tabs>
        <w:suppressAutoHyphens w:val="true"/>
        <w:spacing w:lineRule="exact" w:line="320"/>
        <w:jc w:val="both"/>
        <w:rPr>
          <w:color w:val="000000"/>
          <w:spacing w:val="-2"/>
          <w:sz w:val="24"/>
        </w:rPr>
      </w:pPr>
      <w:r>
        <w:rPr>
          <w:color w:val="000000"/>
          <w:spacing w:val="-2"/>
          <w:sz w:val="24"/>
        </w:rPr>
        <w:tab/>
        <w:t>By:</w:t>
      </w:r>
      <w:r>
        <w:rPr>
          <w:color w:val="000000"/>
          <w:spacing w:val="-2"/>
          <w:sz w:val="24"/>
          <w:u w:val="single"/>
        </w:rPr>
        <w:tab/>
      </w:r>
    </w:p>
    <w:p>
      <w:pPr>
        <w:pStyle w:val="Heading4"/>
        <w:tabs>
          <w:tab w:val="clear" w:pos="5040"/>
          <w:tab w:val="left" w:pos="0" w:leader="none"/>
          <w:tab w:val="left" w:pos="4320" w:leader="none"/>
          <w:tab w:val="left" w:pos="4770" w:leader="none"/>
          <w:tab w:val="left" w:pos="8640" w:leader="none"/>
        </w:tabs>
        <w:ind w:hanging="0" w:start="0"/>
        <w:rPr/>
      </w:pPr>
      <w:r>
        <w:rPr/>
        <w:tab/>
        <w:t>Sarah M. Barpoulis, Senior Vice President</w:t>
      </w:r>
    </w:p>
    <w:p>
      <w:pPr>
        <w:pStyle w:val="Normal"/>
        <w:tabs>
          <w:tab w:val="clear" w:pos="720"/>
          <w:tab w:val="left" w:pos="0" w:leader="none"/>
          <w:tab w:val="left" w:pos="4320" w:leader="none"/>
        </w:tabs>
        <w:suppressAutoHyphens w:val="true"/>
        <w:spacing w:lineRule="exact" w:line="320"/>
        <w:jc w:val="both"/>
        <w:rPr>
          <w:color w:val="000000"/>
          <w:spacing w:val="-2"/>
          <w:sz w:val="24"/>
        </w:rPr>
      </w:pPr>
      <w:r>
        <w:rPr>
          <w:color w:val="000000"/>
          <w:spacing w:val="-2"/>
          <w:sz w:val="24"/>
        </w:rPr>
      </w:r>
    </w:p>
    <w:p>
      <w:pPr>
        <w:pStyle w:val="Normal"/>
        <w:tabs>
          <w:tab w:val="clear" w:pos="720"/>
          <w:tab w:val="left" w:pos="0" w:leader="none"/>
          <w:tab w:val="left" w:pos="4320" w:leader="none"/>
        </w:tabs>
        <w:suppressAutoHyphens w:val="true"/>
        <w:spacing w:lineRule="exact" w:line="320"/>
        <w:jc w:val="both"/>
        <w:rPr>
          <w:color w:val="000000"/>
          <w:spacing w:val="-2"/>
          <w:sz w:val="24"/>
        </w:rPr>
      </w:pPr>
      <w:r>
        <w:rPr>
          <w:color w:val="000000"/>
          <w:spacing w:val="-2"/>
          <w:sz w:val="24"/>
        </w:rPr>
      </w:r>
    </w:p>
    <w:p>
      <w:pPr>
        <w:pStyle w:val="Normal"/>
        <w:tabs>
          <w:tab w:val="clear" w:pos="720"/>
          <w:tab w:val="left" w:pos="0" w:leader="none"/>
          <w:tab w:val="left" w:pos="3780" w:leader="none"/>
        </w:tabs>
        <w:suppressAutoHyphens w:val="true"/>
        <w:spacing w:lineRule="exact" w:line="320"/>
        <w:jc w:val="both"/>
        <w:rPr>
          <w:color w:val="000000"/>
          <w:spacing w:val="-2"/>
          <w:sz w:val="24"/>
        </w:rPr>
      </w:pPr>
      <w:r>
        <w:rPr>
          <w:b/>
          <w:smallCaps/>
          <w:color w:val="000000"/>
          <w:spacing w:val="-2"/>
          <w:sz w:val="24"/>
        </w:rPr>
        <w:tab/>
      </w:r>
      <w:r>
        <w:rPr>
          <w:b/>
          <w:smallCaps/>
          <w:color w:val="000000"/>
          <w:spacing w:val="-2"/>
          <w:sz w:val="24"/>
          <w:highlight w:val="lightGray"/>
        </w:rPr>
        <w:t>[____________________________]</w:t>
      </w:r>
    </w:p>
    <w:p>
      <w:pPr>
        <w:pStyle w:val="Normal"/>
        <w:tabs>
          <w:tab w:val="clear" w:pos="720"/>
          <w:tab w:val="left" w:pos="0" w:leader="none"/>
          <w:tab w:val="left" w:pos="3780" w:leader="none"/>
        </w:tabs>
        <w:suppressAutoHyphens w:val="true"/>
        <w:spacing w:lineRule="exact" w:line="320"/>
        <w:jc w:val="both"/>
        <w:rPr>
          <w:color w:val="000000"/>
          <w:spacing w:val="-2"/>
          <w:sz w:val="24"/>
        </w:rPr>
      </w:pPr>
      <w:r>
        <w:rPr>
          <w:color w:val="000000"/>
          <w:spacing w:val="-2"/>
          <w:sz w:val="24"/>
        </w:rPr>
      </w:r>
    </w:p>
    <w:p>
      <w:pPr>
        <w:pStyle w:val="Normal"/>
        <w:tabs>
          <w:tab w:val="clear" w:pos="720"/>
          <w:tab w:val="left" w:pos="0" w:leader="none"/>
          <w:tab w:val="left" w:pos="3780" w:leader="none"/>
          <w:tab w:val="left" w:pos="8820" w:leader="none"/>
        </w:tabs>
        <w:suppressAutoHyphens w:val="true"/>
        <w:spacing w:lineRule="exact" w:line="320"/>
        <w:jc w:val="both"/>
        <w:rPr>
          <w:color w:val="000000"/>
          <w:spacing w:val="-2"/>
          <w:sz w:val="24"/>
        </w:rPr>
      </w:pPr>
      <w:r>
        <w:rPr>
          <w:color w:val="000000"/>
          <w:spacing w:val="-2"/>
          <w:sz w:val="24"/>
        </w:rPr>
        <w:tab/>
        <w:t>By:</w:t>
      </w:r>
      <w:r>
        <w:rPr>
          <w:color w:val="000000"/>
          <w:spacing w:val="-2"/>
          <w:sz w:val="24"/>
          <w:u w:val="single"/>
        </w:rPr>
        <w:tab/>
      </w:r>
    </w:p>
    <w:p>
      <w:pPr>
        <w:pStyle w:val="Normal"/>
        <w:tabs>
          <w:tab w:val="clear" w:pos="720"/>
          <w:tab w:val="left" w:pos="0" w:leader="none"/>
          <w:tab w:val="left" w:pos="3780" w:leader="none"/>
          <w:tab w:val="left" w:pos="8820" w:leader="none"/>
        </w:tabs>
        <w:suppressAutoHyphens w:val="true"/>
        <w:spacing w:lineRule="exact" w:line="320"/>
        <w:jc w:val="both"/>
        <w:rPr>
          <w:spacing w:val="-2"/>
          <w:sz w:val="24"/>
        </w:rPr>
      </w:pPr>
      <w:r>
        <w:rPr>
          <w:color w:val="000000"/>
          <w:spacing w:val="-2"/>
          <w:sz w:val="24"/>
        </w:rPr>
        <w:tab/>
        <w:t>Name:</w:t>
      </w:r>
      <w:r>
        <w:rPr>
          <w:color w:val="000000"/>
          <w:spacing w:val="-2"/>
          <w:sz w:val="24"/>
          <w:u w:val="single"/>
        </w:rPr>
        <w:tab/>
      </w:r>
      <w:r>
        <w:rPr>
          <w:color w:val="000000"/>
          <w:spacing w:val="-2"/>
          <w:sz w:val="24"/>
        </w:rPr>
        <w:tab/>
      </w:r>
      <w:r>
        <w:rPr>
          <w:color w:val="000000"/>
          <w:spacing w:val="-2"/>
          <w:sz w:val="24"/>
          <w:highlight w:val="lightGray"/>
        </w:rPr>
        <w:t>Title:</w:t>
      </w:r>
      <w:r>
        <w:rPr>
          <w:color w:val="000000"/>
          <w:spacing w:val="-2"/>
          <w:sz w:val="24"/>
          <w:u w:val="single"/>
        </w:rPr>
        <w:tab/>
      </w:r>
    </w:p>
    <w:p>
      <w:pPr>
        <w:pStyle w:val="Normal"/>
        <w:tabs>
          <w:tab w:val="clear" w:pos="720"/>
          <w:tab w:val="left" w:pos="0" w:leader="none"/>
          <w:tab w:val="left" w:pos="3780" w:leader="none"/>
          <w:tab w:val="left" w:pos="8640" w:leader="none"/>
        </w:tabs>
        <w:suppressAutoHyphens w:val="true"/>
        <w:spacing w:lineRule="exact" w:line="320"/>
        <w:jc w:val="both"/>
        <w:rPr>
          <w:spacing w:val="-2"/>
          <w:sz w:val="24"/>
        </w:rPr>
      </w:pPr>
      <w:r>
        <w:rPr>
          <w:spacing w:val="-2"/>
          <w:sz w:val="24"/>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sz w:val="16"/>
      </w:rPr>
      <w:tab/>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rStyle w:val="PageNumber"/>
      </w:rPr>
    </w:pPr>
    <w:r>
      <w:rPr/>
    </w:r>
  </w:p>
  <w:p>
    <w:pPr>
      <w:pStyle w:val="Footer"/>
      <w:rPr/>
    </w:pPr>
    <w:r>
      <w:rPr>
        <w:sz w:val="16"/>
      </w:rPr>
      <w:t>W:\Mktg\ContractAdmin\ISDA Wk\NEG\ISDA-Annex\2000v01</w:t>
      <w:tab/>
    </w:r>
    <w:r>
      <w:rPr>
        <w:rStyle w:val="PageNumber"/>
      </w:rPr>
      <w:tab/>
    </w:r>
    <w:r>
      <w:rPr>
        <w:rStyle w:val="PageNumber"/>
        <w:highlight w:val="lightGray"/>
      </w:rPr>
      <w:t>PARTY B NAME</w:t>
    </w:r>
  </w:p>
  <w:p>
    <w:pPr>
      <w:pStyle w:val="Footer"/>
      <w:rPr>
        <w:highlight w:val="lightGray"/>
      </w:rPr>
    </w:pPr>
    <w:r>
      <w:rPr>
        <w:rStyle w:val="PageNumber"/>
        <w:highlight w:val="lightGray"/>
      </w:rPr>
      <w:tab/>
      <w:tab/>
      <w:t>CONTRACT DATE</w:t>
    </w:r>
  </w:p>
  <w:p>
    <w:pPr>
      <w:pStyle w:val="DocID"/>
      <w:rPr>
        <w:rStyle w:val="PageNumber"/>
        <w:highlight w:val="lightGray"/>
      </w:rPr>
    </w:pPr>
    <w:r>
      <w:rPr>
        <w:highlight w:val="lightGray"/>
      </w:rPr>
    </w:r>
  </w:p>
  <w:p>
    <w:pPr>
      <w:pStyle w:val="DocID"/>
      <w:rPr>
        <w:highlight w:val="lightGray"/>
      </w:rPr>
    </w:pPr>
    <w:r>
      <w:rPr>
        <w:highlight w:val="lightGray"/>
      </w:rPr>
      <w:fldChar w:fldCharType="begin"/>
    </w:r>
    <w:r>
      <w:rPr>
        <w:highlight w:val="lightGray"/>
      </w:rPr>
      <w:instrText xml:space="preserve"> DOCPROPERTY "DocNumber"</w:instrText>
    </w:r>
    <w:r>
      <w:rPr>
        <w:highlight w:val="lightGray"/>
      </w:rPr>
      <w:fldChar w:fldCharType="separate"/>
    </w:r>
    <w:r>
      <w:rPr>
        <w:highlight w:val="lightGray"/>
      </w:rPr>
      <w:t>WO 11620.5</w:t>
    </w:r>
    <w:r>
      <w:rPr>
        <w:highlight w:val="lightGray"/>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3"/>
      <w:numFmt w:val="upperLetter"/>
      <w:lvlText w:val="(%1)"/>
      <w:lvlJc w:val="start"/>
      <w:pPr>
        <w:tabs>
          <w:tab w:val="num" w:pos="2160"/>
        </w:tabs>
        <w:ind w:start="2160" w:hanging="720"/>
      </w:pPr>
      <w:rPr/>
    </w:lvl>
  </w:abstractNum>
  <w:abstractNum w:abstractNumId="4">
    <w:lvl w:ilvl="0">
      <w:start w:val="3"/>
      <w:numFmt w:val="lowerRoman"/>
      <w:lvlText w:val="(%1)"/>
      <w:lvlJc w:val="start"/>
      <w:pPr>
        <w:tabs>
          <w:tab w:val="num" w:pos="1440"/>
        </w:tabs>
        <w:ind w:start="144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0"/>
      <w:numFmt w:val="lowerLetter"/>
      <w:lvlText w:val="(%1)"/>
      <w:lvlJc w:val="start"/>
      <w:pPr>
        <w:tabs>
          <w:tab w:val="num" w:pos="720"/>
        </w:tabs>
        <w:ind w:start="720" w:hanging="720"/>
      </w:pPr>
      <w:rPr>
        <w:i w:val="false"/>
        <w:b w:val="false"/>
      </w:rPr>
    </w:lvl>
  </w:abstractNum>
  <w:abstractNum w:abstractNumId="8">
    <w:lvl w:ilvl="0">
      <w:start w:val="1"/>
      <w:numFmt w:val="lowerRoman"/>
      <w:lvlText w:val="(%1)"/>
      <w:lvlJc w:val="start"/>
      <w:pPr>
        <w:tabs>
          <w:tab w:val="num" w:pos="1440"/>
        </w:tabs>
        <w:ind w:start="1440" w:hanging="720"/>
      </w:pPr>
      <w:rPr/>
    </w:lvl>
  </w:abstractNum>
  <w:abstractNum w:abstractNumId="9">
    <w:lvl w:ilvl="0">
      <w:start w:val="2"/>
      <w:numFmt w:val="lowerRoman"/>
      <w:lvlText w:val="(%1)"/>
      <w:lvlJc w:val="start"/>
      <w:pPr>
        <w:tabs>
          <w:tab w:val="num" w:pos="1440"/>
        </w:tabs>
        <w:ind w:start="1440" w:hanging="720"/>
      </w:pPr>
      <w:rPr/>
    </w:lvl>
  </w:abstractNum>
  <w:abstractNum w:abstractNumId="10">
    <w:lvl w:ilvl="0">
      <w:start w:val="3"/>
      <w:numFmt w:val="lowerRoman"/>
      <w:lvlText w:val="(%1)"/>
      <w:lvlJc w:val="start"/>
      <w:pPr>
        <w:tabs>
          <w:tab w:val="num" w:pos="1440"/>
        </w:tabs>
        <w:ind w:start="1440" w:hanging="720"/>
      </w:pPr>
      <w:rPr/>
    </w:lvl>
  </w:abstractNum>
  <w:abstractNum w:abstractNumId="11">
    <w:lvl w:ilvl="0">
      <w:start w:val="2"/>
      <w:numFmt w:val="upperLetter"/>
      <w:lvlText w:val="(%1)"/>
      <w:lvlJc w:val="start"/>
      <w:pPr>
        <w:tabs>
          <w:tab w:val="num" w:pos="2160"/>
        </w:tabs>
        <w:ind w:start="2160" w:hanging="720"/>
      </w:pPr>
      <w:rPr/>
    </w:lvl>
  </w:abstractNum>
  <w:abstractNum w:abstractNumId="12">
    <w:lvl w:ilvl="0">
      <w:start w:val="4"/>
      <w:numFmt w:val="lowerLetter"/>
      <w:lvlText w:val="(%1)"/>
      <w:lvlJc w:val="start"/>
      <w:pPr>
        <w:tabs>
          <w:tab w:val="num" w:pos="720"/>
        </w:tabs>
        <w:ind w:start="720" w:hanging="720"/>
      </w:pPr>
      <w:rPr/>
    </w:lvl>
  </w:abstractNum>
  <w:abstractNum w:abstractNumId="13">
    <w:lvl w:ilvl="0">
      <w:start w:val="1"/>
      <w:numFmt w:val="lowerRoman"/>
      <w:lvlText w:val="(%1)"/>
      <w:lvlJc w:val="start"/>
      <w:pPr>
        <w:tabs>
          <w:tab w:val="num" w:pos="2160"/>
        </w:tabs>
        <w:ind w:start="2160" w:hanging="720"/>
      </w:pPr>
      <w:rPr/>
    </w:lvl>
  </w:abstractNum>
  <w:abstractNum w:abstractNumId="14">
    <w:lvl w:ilvl="0">
      <w:start w:val="13"/>
      <w:numFmt w:val="lowerLetter"/>
      <w:lvlText w:val="(%1)"/>
      <w:lvlJc w:val="start"/>
      <w:pPr>
        <w:tabs>
          <w:tab w:val="num" w:pos="720"/>
        </w:tabs>
        <w:ind w:start="720" w:hanging="72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outlineLvl w:val="0"/>
    </w:pPr>
    <w:rPr>
      <w:sz w:val="24"/>
    </w:rPr>
  </w:style>
  <w:style w:type="paragraph" w:styleId="Heading2">
    <w:name w:val="heading 2"/>
    <w:basedOn w:val="Normal"/>
    <w:next w:val="Normal"/>
    <w:qFormat/>
    <w:pPr>
      <w:keepNext w:val="true"/>
      <w:widowControl w:val="false"/>
      <w:numPr>
        <w:ilvl w:val="1"/>
        <w:numId w:val="1"/>
      </w:numPr>
      <w:tabs>
        <w:tab w:val="clear" w:pos="720"/>
        <w:tab w:val="left" w:pos="0" w:leader="none"/>
        <w:tab w:val="left" w:pos="4320" w:leader="none"/>
      </w:tabs>
      <w:suppressAutoHyphens w:val="true"/>
      <w:spacing w:lineRule="exact" w:line="320"/>
      <w:jc w:val="both"/>
      <w:outlineLvl w:val="1"/>
    </w:pPr>
    <w:rPr>
      <w:b/>
      <w:smallCaps/>
      <w:spacing w:val="-2"/>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0" w:leader="none"/>
        <w:tab w:val="left" w:pos="4320" w:leader="none"/>
        <w:tab w:val="left" w:pos="5040" w:leader="none"/>
        <w:tab w:val="left" w:pos="8640" w:leader="none"/>
      </w:tabs>
      <w:suppressAutoHyphens w:val="true"/>
      <w:spacing w:lineRule="exact" w:line="320"/>
      <w:jc w:val="both"/>
      <w:outlineLvl w:val="3"/>
    </w:pPr>
    <w:rPr>
      <w:color w:val="000000"/>
      <w:spacing w:val="-2"/>
      <w:sz w:val="24"/>
    </w:rPr>
  </w:style>
  <w:style w:type="paragraph" w:styleId="Heading5">
    <w:name w:val="heading 5"/>
    <w:basedOn w:val="Normal"/>
    <w:next w:val="Normal"/>
    <w:qFormat/>
    <w:pPr>
      <w:keepNext w:val="true"/>
      <w:numPr>
        <w:ilvl w:val="4"/>
        <w:numId w:val="1"/>
      </w:numPr>
      <w:suppressAutoHyphens w:val="true"/>
      <w:spacing w:lineRule="exact" w:line="360"/>
      <w:jc w:val="center"/>
      <w:outlineLvl w:val="4"/>
    </w:pPr>
    <w:rPr>
      <w:b/>
      <w:smallCaps/>
      <w:color w:val="000000"/>
      <w:sz w:val="24"/>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b w:val="false"/>
      <w:i w:val="false"/>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7z0">
    <w:name w:val="WW8Num27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uppressAutoHyphens w:val="true"/>
      <w:spacing w:lineRule="exact" w:line="240"/>
      <w:jc w:val="center"/>
    </w:pPr>
    <w:rPr>
      <w:rFonts w:ascii="Arial" w:hAnsi="Arial" w:cs="Arial"/>
      <w:b/>
      <w:smallCaps/>
    </w:rPr>
  </w:style>
  <w:style w:type="paragraph" w:styleId="BodyText">
    <w:name w:val="Body Text"/>
    <w:basedOn w:val="Normal"/>
    <w:pPr>
      <w:tabs>
        <w:tab w:val="clear" w:pos="720"/>
        <w:tab w:val="left" w:pos="900" w:leader="none"/>
      </w:tabs>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tabs>
        <w:tab w:val="clear" w:pos="720"/>
        <w:tab w:val="center" w:pos="4680" w:leader="none"/>
      </w:tabs>
      <w:suppressAutoHyphens w:val="true"/>
      <w:jc w:val="center"/>
    </w:pPr>
    <w:rPr>
      <w:b/>
      <w:smallCaps/>
      <w:sz w:val="24"/>
    </w:rPr>
  </w:style>
  <w:style w:type="paragraph" w:styleId="DocID">
    <w:name w:val="DocID"/>
    <w:basedOn w:val="Normal"/>
    <w:qFormat/>
    <w:pPr/>
    <w:rPr>
      <w:sz w:val="16"/>
    </w:rPr>
  </w:style>
  <w:style w:type="paragraph" w:styleId="BodyTextIndent">
    <w:name w:val="Body Text Indent"/>
    <w:basedOn w:val="Normal"/>
    <w:pPr>
      <w:ind w:hanging="720" w:start="288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2002-01-25T18:58:00Z</dcterms:created>
  <dc:creator>Kathy bolan</dc:creator>
  <dc:description/>
  <dc:language>en-CA</dc:language>
  <cp:lastModifiedBy>Jennifer Hein</cp:lastModifiedBy>
  <cp:lastPrinted>2001-11-05T08:23:00Z</cp:lastPrinted>
  <dcterms:modified xsi:type="dcterms:W3CDTF">2002-01-25T18:59:00Z</dcterms:modified>
  <cp:revision>3</cp:revision>
  <dc:subject/>
  <dc:title>PARAGRAPH 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WO 11620.5</vt:lpwstr>
  </property>
</Properties>
</file>