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18"/>
        </w:rPr>
      </w:pPr>
      <w:r>
        <w:rPr>
          <w:sz w:val="18"/>
        </w:rPr>
        <w:t>Draft: 30 August 2001</w:t>
      </w:r>
    </w:p>
    <w:p>
      <w:pPr>
        <w:pStyle w:val="Normal"/>
        <w:rPr>
          <w:sz w:val="18"/>
        </w:rPr>
      </w:pPr>
      <w:r>
        <w:rPr>
          <w:b/>
          <w:sz w:val="18"/>
        </w:rPr>
        <w:t>PARAGRAPH 13 OF THE ISDA NEW YORK LAW CREDIT SUPPORT ANNEX (TWO WAY) BETWEEN MORGAN STANLEY CAPITAL SERVICES INC. (PARTY A) AND ENRON NORTH AMERICA CORP. (PARTY B)</w:t>
      </w:r>
    </w:p>
    <w:p>
      <w:pPr>
        <w:pStyle w:val="Normal"/>
        <w:rPr>
          <w:sz w:val="18"/>
        </w:rPr>
      </w:pPr>
      <w:r>
        <w:rPr>
          <w:sz w:val="18"/>
        </w:rPr>
        <w:t>Paragraph 13. Elections and Variables</w:t>
      </w:r>
    </w:p>
    <w:p>
      <w:pPr>
        <w:pStyle w:val="ListAlpha1"/>
        <w:numPr>
          <w:ilvl w:val="0"/>
          <w:numId w:val="7"/>
        </w:numPr>
        <w:ind w:hanging="0" w:start="0"/>
        <w:rPr>
          <w:sz w:val="18"/>
        </w:rPr>
      </w:pPr>
      <w:r>
        <w:rPr>
          <w:b/>
          <w:i/>
          <w:sz w:val="18"/>
        </w:rPr>
        <w:t>Security Interest for "Obligations".</w:t>
      </w:r>
      <w:r>
        <w:rPr>
          <w:sz w:val="18"/>
        </w:rPr>
        <w:t xml:space="preserve">  The term </w:t>
      </w:r>
      <w:r>
        <w:rPr>
          <w:b/>
          <w:i/>
          <w:sz w:val="18"/>
        </w:rPr>
        <w:t>"Obligations"</w:t>
      </w:r>
      <w:r>
        <w:rPr>
          <w:sz w:val="18"/>
        </w:rPr>
        <w:t xml:space="preserve"> as used in this Annex includes the following additional obligations with respect to Party A and Party B:  None.</w:t>
      </w:r>
    </w:p>
    <w:p>
      <w:pPr>
        <w:pStyle w:val="ListAlpha1"/>
        <w:numPr>
          <w:ilvl w:val="0"/>
          <w:numId w:val="7"/>
        </w:numPr>
        <w:ind w:hanging="0" w:start="0"/>
        <w:rPr>
          <w:b/>
          <w:i/>
          <w:i/>
          <w:sz w:val="18"/>
        </w:rPr>
      </w:pPr>
      <w:r>
        <w:rPr>
          <w:b/>
          <w:i/>
          <w:sz w:val="18"/>
        </w:rPr>
        <w:t>Credit Support Obligations.</w:t>
      </w:r>
    </w:p>
    <w:p>
      <w:pPr>
        <w:pStyle w:val="ListRoman2"/>
        <w:numPr>
          <w:ilvl w:val="1"/>
          <w:numId w:val="5"/>
        </w:numPr>
        <w:ind w:hanging="0" w:start="0"/>
        <w:rPr>
          <w:b/>
          <w:i/>
          <w:i/>
          <w:sz w:val="18"/>
        </w:rPr>
      </w:pPr>
      <w:r>
        <w:rPr>
          <w:b/>
          <w:i/>
          <w:sz w:val="18"/>
        </w:rPr>
        <w:t xml:space="preserve">"Delivery Amount", "Return Amount" </w:t>
      </w:r>
      <w:r>
        <w:rPr>
          <w:sz w:val="18"/>
        </w:rPr>
        <w:t>and</w:t>
      </w:r>
      <w:r>
        <w:rPr>
          <w:b/>
          <w:i/>
          <w:sz w:val="18"/>
        </w:rPr>
        <w:t xml:space="preserve"> "Credit Support Amount"</w:t>
      </w:r>
      <w:r>
        <w:rPr>
          <w:sz w:val="18"/>
        </w:rPr>
        <w:t xml:space="preserve"> each has the meaning specified in Paragraph 3.</w:t>
      </w:r>
    </w:p>
    <w:p>
      <w:pPr>
        <w:pStyle w:val="ListRoman2"/>
        <w:numPr>
          <w:ilvl w:val="1"/>
          <w:numId w:val="5"/>
        </w:numPr>
        <w:ind w:hanging="0" w:start="0"/>
        <w:rPr>
          <w:b/>
          <w:i/>
          <w:i/>
          <w:sz w:val="18"/>
        </w:rPr>
      </w:pPr>
      <w:r>
        <w:rPr>
          <w:b/>
          <w:i/>
          <w:sz w:val="18"/>
        </w:rPr>
        <w:t>Eligible Collateral.</w:t>
      </w:r>
      <w:r>
        <w:rPr>
          <w:sz w:val="18"/>
        </w:rPr>
        <w:t xml:space="preserve">  The following items will qualify as </w:t>
      </w:r>
      <w:r>
        <w:rPr>
          <w:b/>
          <w:i/>
          <w:sz w:val="18"/>
        </w:rPr>
        <w:t>"Eligible Collateral"</w:t>
      </w:r>
      <w:r>
        <w:rPr>
          <w:sz w:val="18"/>
        </w:rPr>
        <w:t xml:space="preserve"> for Party A and Party B:</w:t>
      </w:r>
    </w:p>
    <w:tbl>
      <w:tblPr>
        <w:tblW w:w="8223" w:type="dxa"/>
        <w:jc w:val="start"/>
        <w:tblInd w:w="391" w:type="dxa"/>
        <w:tblLayout w:type="fixed"/>
        <w:tblCellMar>
          <w:top w:w="0" w:type="dxa"/>
          <w:start w:w="108" w:type="dxa"/>
          <w:bottom w:w="0" w:type="dxa"/>
          <w:end w:w="108" w:type="dxa"/>
        </w:tblCellMar>
      </w:tblPr>
      <w:tblGrid>
        <w:gridCol w:w="992"/>
        <w:gridCol w:w="5387"/>
        <w:gridCol w:w="1843"/>
      </w:tblGrid>
      <w:tr>
        <w:trPr>
          <w:tblHeader w:val="true"/>
          <w:trHeight w:val="23" w:hRule="atLeast"/>
        </w:trPr>
        <w:tc>
          <w:tcPr>
            <w:tcW w:w="992" w:type="dxa"/>
            <w:tcBorders/>
          </w:tcPr>
          <w:p>
            <w:pPr>
              <w:pStyle w:val="Normal"/>
              <w:snapToGrid w:val="false"/>
              <w:spacing w:before="0" w:after="200"/>
              <w:jc w:val="start"/>
              <w:rPr>
                <w:b/>
                <w:i/>
                <w:i/>
                <w:sz w:val="18"/>
              </w:rPr>
            </w:pPr>
            <w:r>
              <w:rPr>
                <w:b/>
                <w:i/>
                <w:sz w:val="18"/>
              </w:rPr>
            </w:r>
          </w:p>
        </w:tc>
        <w:tc>
          <w:tcPr>
            <w:tcW w:w="5387" w:type="dxa"/>
            <w:tcBorders/>
          </w:tcPr>
          <w:p>
            <w:pPr>
              <w:pStyle w:val="Normal"/>
              <w:snapToGrid w:val="false"/>
              <w:spacing w:before="0" w:after="200"/>
              <w:jc w:val="start"/>
              <w:rPr>
                <w:b/>
                <w:i/>
                <w:i/>
                <w:sz w:val="18"/>
              </w:rPr>
            </w:pPr>
            <w:r>
              <w:rPr>
                <w:b/>
                <w:i/>
                <w:sz w:val="18"/>
              </w:rPr>
            </w:r>
          </w:p>
        </w:tc>
        <w:tc>
          <w:tcPr>
            <w:tcW w:w="1843" w:type="dxa"/>
            <w:tcBorders/>
          </w:tcPr>
          <w:p>
            <w:pPr>
              <w:pStyle w:val="Normal"/>
              <w:pBdr>
                <w:bottom w:val="single" w:sz="6" w:space="0" w:color="000000"/>
              </w:pBdr>
              <w:spacing w:before="0" w:after="0"/>
              <w:jc w:val="center"/>
              <w:rPr>
                <w:b/>
                <w:sz w:val="18"/>
              </w:rPr>
            </w:pPr>
            <w:r>
              <w:rPr>
                <w:b/>
                <w:sz w:val="18"/>
              </w:rPr>
              <w:t>Valuation Percentage</w:t>
            </w:r>
          </w:p>
        </w:tc>
      </w:tr>
      <w:tr>
        <w:trPr>
          <w:trHeight w:val="23" w:hRule="atLeast"/>
        </w:trPr>
        <w:tc>
          <w:tcPr>
            <w:tcW w:w="992" w:type="dxa"/>
            <w:tcBorders/>
          </w:tcPr>
          <w:p>
            <w:pPr>
              <w:pStyle w:val="ListALPHACAPS1"/>
              <w:numPr>
                <w:ilvl w:val="0"/>
                <w:numId w:val="0"/>
              </w:numPr>
              <w:snapToGrid w:val="false"/>
              <w:spacing w:before="0" w:after="0"/>
              <w:ind w:hanging="0" w:start="0"/>
              <w:rPr>
                <w:b/>
                <w:sz w:val="18"/>
              </w:rPr>
            </w:pPr>
            <w:r>
              <w:rPr>
                <w:b/>
                <w:sz w:val="18"/>
              </w:rPr>
            </w:r>
          </w:p>
        </w:tc>
        <w:tc>
          <w:tcPr>
            <w:tcW w:w="5387" w:type="dxa"/>
            <w:tcBorders/>
          </w:tcPr>
          <w:p>
            <w:pPr>
              <w:pStyle w:val="ListALPHACAPS1"/>
              <w:numPr>
                <w:ilvl w:val="0"/>
                <w:numId w:val="4"/>
              </w:numPr>
              <w:spacing w:before="0" w:after="200"/>
              <w:ind w:hanging="0" w:start="0"/>
              <w:rPr>
                <w:sz w:val="18"/>
              </w:rPr>
            </w:pPr>
            <w:r>
              <w:rPr>
                <w:sz w:val="18"/>
              </w:rPr>
              <w:t>Cash</w:t>
            </w:r>
          </w:p>
        </w:tc>
        <w:tc>
          <w:tcPr>
            <w:tcW w:w="1843" w:type="dxa"/>
            <w:tcBorders/>
          </w:tcPr>
          <w:p>
            <w:pPr>
              <w:pStyle w:val="Normal"/>
              <w:spacing w:before="0" w:after="200"/>
              <w:jc w:val="center"/>
              <w:rPr>
                <w:sz w:val="18"/>
              </w:rPr>
            </w:pPr>
            <w:r>
              <w:rPr>
                <w:sz w:val="18"/>
              </w:rPr>
              <w:t>100%</w:t>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ListALPHACAPS1"/>
              <w:numPr>
                <w:ilvl w:val="0"/>
                <w:numId w:val="4"/>
              </w:numPr>
              <w:spacing w:before="0" w:after="200"/>
              <w:ind w:hanging="0" w:start="0"/>
              <w:jc w:val="start"/>
              <w:rPr>
                <w:sz w:val="18"/>
              </w:rPr>
            </w:pPr>
            <w:r>
              <w:rPr>
                <w:sz w:val="18"/>
              </w:rPr>
              <w:t>Treasury Securities and Agency Notes having a remaining maturity of:</w:t>
            </w:r>
          </w:p>
        </w:tc>
        <w:tc>
          <w:tcPr>
            <w:tcW w:w="1843" w:type="dxa"/>
            <w:tcBorders/>
          </w:tcPr>
          <w:p>
            <w:pPr>
              <w:pStyle w:val="Normal"/>
              <w:snapToGrid w:val="false"/>
              <w:spacing w:before="0" w:after="200"/>
              <w:jc w:val="center"/>
              <w:rPr>
                <w:sz w:val="18"/>
              </w:rPr>
            </w:pPr>
            <w:r>
              <w:rPr>
                <w:sz w:val="18"/>
              </w:rPr>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BodyText"/>
              <w:spacing w:lineRule="auto" w:line="240" w:before="0" w:after="0"/>
              <w:jc w:val="start"/>
              <w:rPr>
                <w:sz w:val="18"/>
              </w:rPr>
            </w:pPr>
            <w:r>
              <w:rPr>
                <w:sz w:val="18"/>
              </w:rPr>
              <w:t>Not more than 1 year</w:t>
            </w:r>
          </w:p>
        </w:tc>
        <w:tc>
          <w:tcPr>
            <w:tcW w:w="1843" w:type="dxa"/>
            <w:tcBorders/>
          </w:tcPr>
          <w:p>
            <w:pPr>
              <w:pStyle w:val="Normal"/>
              <w:spacing w:lineRule="auto" w:line="240" w:before="0" w:after="0"/>
              <w:jc w:val="center"/>
              <w:rPr>
                <w:sz w:val="18"/>
              </w:rPr>
            </w:pPr>
            <w:r>
              <w:rPr>
                <w:sz w:val="18"/>
              </w:rPr>
              <w:t>100%</w:t>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BodyText"/>
              <w:spacing w:lineRule="auto" w:line="240" w:before="0" w:after="0"/>
              <w:jc w:val="start"/>
              <w:rPr>
                <w:sz w:val="18"/>
              </w:rPr>
            </w:pPr>
            <w:r>
              <w:rPr>
                <w:sz w:val="18"/>
              </w:rPr>
              <w:t>More than 1 year but not more than 2 years</w:t>
            </w:r>
          </w:p>
        </w:tc>
        <w:tc>
          <w:tcPr>
            <w:tcW w:w="1843" w:type="dxa"/>
            <w:tcBorders/>
          </w:tcPr>
          <w:p>
            <w:pPr>
              <w:pStyle w:val="Normal"/>
              <w:spacing w:lineRule="auto" w:line="240" w:before="0" w:after="0"/>
              <w:jc w:val="center"/>
              <w:rPr>
                <w:sz w:val="18"/>
              </w:rPr>
            </w:pPr>
            <w:r>
              <w:rPr>
                <w:sz w:val="18"/>
              </w:rPr>
              <w:t>99%</w:t>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BodyText"/>
              <w:spacing w:lineRule="auto" w:line="240" w:before="0" w:after="0"/>
              <w:jc w:val="start"/>
              <w:rPr>
                <w:sz w:val="18"/>
              </w:rPr>
            </w:pPr>
            <w:r>
              <w:rPr>
                <w:sz w:val="18"/>
              </w:rPr>
              <w:t>More than 2 years but not more than 5 years</w:t>
            </w:r>
          </w:p>
        </w:tc>
        <w:tc>
          <w:tcPr>
            <w:tcW w:w="1843" w:type="dxa"/>
            <w:tcBorders/>
          </w:tcPr>
          <w:p>
            <w:pPr>
              <w:pStyle w:val="Normal"/>
              <w:spacing w:lineRule="auto" w:line="240" w:before="0" w:after="0"/>
              <w:jc w:val="center"/>
              <w:rPr>
                <w:sz w:val="18"/>
              </w:rPr>
            </w:pPr>
            <w:r>
              <w:rPr>
                <w:sz w:val="18"/>
              </w:rPr>
              <w:t>98%</w:t>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BodyText"/>
              <w:spacing w:lineRule="auto" w:line="240" w:before="0" w:after="0"/>
              <w:jc w:val="start"/>
              <w:rPr>
                <w:sz w:val="18"/>
              </w:rPr>
            </w:pPr>
            <w:r>
              <w:rPr>
                <w:sz w:val="18"/>
              </w:rPr>
              <w:t>More than 5 years but not more than 10 years</w:t>
            </w:r>
          </w:p>
        </w:tc>
        <w:tc>
          <w:tcPr>
            <w:tcW w:w="1843" w:type="dxa"/>
            <w:tcBorders/>
          </w:tcPr>
          <w:p>
            <w:pPr>
              <w:pStyle w:val="Normal"/>
              <w:spacing w:lineRule="auto" w:line="240" w:before="0" w:after="0"/>
              <w:jc w:val="center"/>
              <w:rPr>
                <w:sz w:val="18"/>
              </w:rPr>
            </w:pPr>
            <w:r>
              <w:rPr>
                <w:sz w:val="18"/>
              </w:rPr>
              <w:t>97%</w:t>
            </w:r>
          </w:p>
        </w:tc>
      </w:tr>
      <w:tr>
        <w:trPr>
          <w:trHeight w:val="23" w:hRule="atLeast"/>
        </w:trPr>
        <w:tc>
          <w:tcPr>
            <w:tcW w:w="992" w:type="dxa"/>
            <w:tcBorders/>
          </w:tcPr>
          <w:p>
            <w:pPr>
              <w:pStyle w:val="Normal"/>
              <w:snapToGrid w:val="false"/>
              <w:spacing w:before="0" w:after="200"/>
              <w:jc w:val="start"/>
              <w:rPr>
                <w:sz w:val="18"/>
              </w:rPr>
            </w:pPr>
            <w:r>
              <w:rPr>
                <w:sz w:val="18"/>
              </w:rPr>
            </w:r>
          </w:p>
        </w:tc>
        <w:tc>
          <w:tcPr>
            <w:tcW w:w="5387" w:type="dxa"/>
            <w:tcBorders/>
          </w:tcPr>
          <w:p>
            <w:pPr>
              <w:pStyle w:val="BodyText"/>
              <w:spacing w:lineRule="auto" w:line="240" w:before="0" w:after="0"/>
              <w:jc w:val="start"/>
              <w:rPr>
                <w:sz w:val="18"/>
              </w:rPr>
            </w:pPr>
            <w:r>
              <w:rPr>
                <w:sz w:val="18"/>
              </w:rPr>
              <w:t xml:space="preserve">More than 10 years </w:t>
            </w:r>
          </w:p>
        </w:tc>
        <w:tc>
          <w:tcPr>
            <w:tcW w:w="1843" w:type="dxa"/>
            <w:tcBorders/>
          </w:tcPr>
          <w:p>
            <w:pPr>
              <w:pStyle w:val="Normal"/>
              <w:spacing w:lineRule="auto" w:line="240" w:before="0" w:after="0"/>
              <w:jc w:val="center"/>
              <w:rPr>
                <w:sz w:val="18"/>
              </w:rPr>
            </w:pPr>
            <w:r>
              <w:rPr>
                <w:sz w:val="18"/>
              </w:rPr>
              <w:t>95%</w:t>
            </w:r>
          </w:p>
        </w:tc>
      </w:tr>
      <w:tr>
        <w:trPr>
          <w:trHeight w:val="23" w:hRule="atLeast"/>
        </w:trPr>
        <w:tc>
          <w:tcPr>
            <w:tcW w:w="992" w:type="dxa"/>
            <w:tcBorders/>
          </w:tcPr>
          <w:p>
            <w:pPr>
              <w:pStyle w:val="Normal"/>
              <w:snapToGrid w:val="false"/>
              <w:spacing w:before="0" w:after="200"/>
              <w:rPr>
                <w:sz w:val="18"/>
              </w:rPr>
            </w:pPr>
            <w:r>
              <w:rPr>
                <w:sz w:val="18"/>
              </w:rPr>
            </w:r>
          </w:p>
        </w:tc>
        <w:tc>
          <w:tcPr>
            <w:tcW w:w="5387" w:type="dxa"/>
            <w:tcBorders/>
          </w:tcPr>
          <w:p>
            <w:pPr>
              <w:pStyle w:val="ListALPHACAPS1"/>
              <w:numPr>
                <w:ilvl w:val="0"/>
                <w:numId w:val="4"/>
              </w:numPr>
              <w:spacing w:before="0" w:after="200"/>
              <w:ind w:hanging="0" w:start="0"/>
              <w:rPr>
                <w:sz w:val="18"/>
              </w:rPr>
            </w:pPr>
            <w:r>
              <w:rPr>
                <w:sz w:val="18"/>
              </w:rPr>
              <w:t>Any other item agreed upon in writing from time to time by the parties</w:t>
            </w:r>
          </w:p>
        </w:tc>
        <w:tc>
          <w:tcPr>
            <w:tcW w:w="1843" w:type="dxa"/>
            <w:tcBorders/>
          </w:tcPr>
          <w:p>
            <w:pPr>
              <w:pStyle w:val="Normal"/>
              <w:spacing w:before="0" w:after="200"/>
              <w:jc w:val="start"/>
              <w:rPr>
                <w:sz w:val="18"/>
              </w:rPr>
            </w:pPr>
            <w:r>
              <w:rPr>
                <w:sz w:val="18"/>
              </w:rPr>
              <w:t>As agreed by the parties</w:t>
            </w:r>
          </w:p>
        </w:tc>
      </w:tr>
    </w:tbl>
    <w:p>
      <w:pPr>
        <w:pStyle w:val="ListRoman2"/>
        <w:numPr>
          <w:ilvl w:val="1"/>
          <w:numId w:val="5"/>
        </w:numPr>
        <w:ind w:hanging="0" w:start="0"/>
        <w:rPr>
          <w:sz w:val="18"/>
        </w:rPr>
      </w:pPr>
      <w:r>
        <w:rPr>
          <w:b/>
          <w:i/>
          <w:sz w:val="18"/>
        </w:rPr>
        <w:t>Other Eligible Support:</w:t>
      </w:r>
      <w:r>
        <w:rPr>
          <w:sz w:val="18"/>
        </w:rPr>
        <w:t xml:space="preserve">  Not applicable.</w:t>
      </w:r>
    </w:p>
    <w:p>
      <w:pPr>
        <w:pStyle w:val="ListRoman2"/>
        <w:numPr>
          <w:ilvl w:val="1"/>
          <w:numId w:val="5"/>
        </w:numPr>
        <w:ind w:hanging="0" w:start="0"/>
        <w:rPr>
          <w:b/>
          <w:i/>
          <w:i/>
          <w:sz w:val="18"/>
        </w:rPr>
      </w:pPr>
      <w:r>
        <w:rPr>
          <w:b/>
          <w:i/>
          <w:sz w:val="18"/>
        </w:rPr>
        <w:t>Thresholds.</w:t>
      </w:r>
    </w:p>
    <w:p>
      <w:pPr>
        <w:pStyle w:val="LISTALPHACAPS3"/>
        <w:numPr>
          <w:ilvl w:val="2"/>
          <w:numId w:val="4"/>
        </w:numPr>
        <w:ind w:hanging="0" w:start="0"/>
        <w:rPr>
          <w:sz w:val="18"/>
        </w:rPr>
      </w:pPr>
      <w:r>
        <w:rPr>
          <w:sz w:val="18"/>
        </w:rPr>
        <w:t>"</w:t>
      </w:r>
      <w:r>
        <w:rPr>
          <w:b/>
          <w:i/>
          <w:sz w:val="18"/>
        </w:rPr>
        <w:t>Independent Amount</w:t>
      </w:r>
      <w:r>
        <w:rPr>
          <w:sz w:val="18"/>
        </w:rPr>
        <w:t>" means with respect to a party, at any time the aggregate of any Transaction Independent Amounts (as that term is defined in Paragraph 13(n)(iii)) with respect to that party in respect of all Transactions outstanding at that time.</w:t>
      </w:r>
    </w:p>
    <w:p>
      <w:pPr>
        <w:pStyle w:val="LISTALPHACAPS3"/>
        <w:numPr>
          <w:ilvl w:val="2"/>
          <w:numId w:val="4"/>
        </w:numPr>
        <w:ind w:hanging="0" w:start="0"/>
        <w:rPr>
          <w:sz w:val="18"/>
        </w:rPr>
      </w:pPr>
      <w:r>
        <w:rPr>
          <w:sz w:val="18"/>
        </w:rPr>
        <w:t>"</w:t>
      </w:r>
      <w:r>
        <w:rPr>
          <w:b/>
          <w:i/>
          <w:sz w:val="18"/>
        </w:rPr>
        <w:t>Threshold</w:t>
      </w:r>
      <w:r>
        <w:rPr>
          <w:sz w:val="18"/>
        </w:rPr>
        <w:t>" and "</w:t>
      </w:r>
      <w:r>
        <w:rPr>
          <w:b/>
          <w:i/>
          <w:sz w:val="18"/>
        </w:rPr>
        <w:t>Minimum Transfer Amount</w:t>
      </w:r>
      <w:r>
        <w:rPr>
          <w:sz w:val="18"/>
        </w:rPr>
        <w:t>" respectively mean with respect to a party, at any time the amount specified in the table below under the relevant heading opposite whatever is the lower of the ratings at that time assigned by Standard &amp; Poor's Ratings Group ("</w:t>
      </w:r>
      <w:r>
        <w:rPr>
          <w:b/>
          <w:sz w:val="18"/>
        </w:rPr>
        <w:t>S&amp;P</w:t>
      </w:r>
      <w:r>
        <w:rPr>
          <w:sz w:val="18"/>
        </w:rPr>
        <w:t>") and Moody's Investors Services, Inc. ("</w:t>
      </w:r>
      <w:r>
        <w:rPr>
          <w:b/>
          <w:sz w:val="18"/>
        </w:rPr>
        <w:t>Moody's</w:t>
      </w:r>
      <w:r>
        <w:rPr>
          <w:sz w:val="18"/>
        </w:rPr>
        <w:t>") to the long term, senior, unsecured debt of, in the case of Party A, Morgan Stanley Dean Witter &amp; Co. ("</w:t>
      </w:r>
      <w:r>
        <w:rPr>
          <w:b/>
          <w:sz w:val="18"/>
        </w:rPr>
        <w:t>MSDW</w:t>
      </w:r>
      <w:r>
        <w:rPr>
          <w:sz w:val="18"/>
        </w:rPr>
        <w:t>") or, in the case of Party B, Enron Corp. ("</w:t>
      </w:r>
      <w:r>
        <w:rPr>
          <w:b/>
          <w:sz w:val="18"/>
        </w:rPr>
        <w:t>Enron</w:t>
      </w:r>
      <w:r>
        <w:rPr>
          <w:sz w:val="18"/>
        </w:rPr>
        <w:t>"),</w:t>
      </w:r>
    </w:p>
    <w:p>
      <w:pPr>
        <w:pStyle w:val="BodyText3"/>
        <w:rPr>
          <w:sz w:val="18"/>
        </w:rPr>
      </w:pPr>
      <w:r>
        <w:rPr>
          <w:sz w:val="18"/>
        </w:rPr>
        <w:t>provided that (a) if the long term senior unsecured debt of MSDW or Enron is rated by only one of S&amp;P or Moody's, the Threshold and the Minimum Transfer Amount with respect to Party A or Party B, as the case may be, will be the amount specified in the table below under the relevant heading opposite that rating and (b) if an Event of Default or Potential Event of Default with respect to Party A or Party B has occurred and is continuing, the Threshold and the Minimum Transfer Amount with respect to such party shall each be zero.</w:t>
      </w:r>
    </w:p>
    <w:p>
      <w:pPr>
        <w:pStyle w:val="Normal"/>
        <w:keepNext w:val="true"/>
        <w:ind w:firstLine="578" w:start="142" w:end="0"/>
        <w:rPr>
          <w:sz w:val="18"/>
        </w:rPr>
      </w:pPr>
      <w:r>
        <w:rPr>
          <w:b/>
          <w:sz w:val="18"/>
        </w:rPr>
        <w:t>Long Term Senior Unsecured Debt Ratings</w:t>
      </w:r>
    </w:p>
    <w:tbl>
      <w:tblPr>
        <w:tblW w:w="8505" w:type="dxa"/>
        <w:jc w:val="start"/>
        <w:tblInd w:w="687" w:type="dxa"/>
        <w:tblLayout w:type="fixed"/>
        <w:tblCellMar>
          <w:top w:w="0" w:type="dxa"/>
          <w:start w:w="120" w:type="dxa"/>
          <w:bottom w:w="0" w:type="dxa"/>
          <w:end w:w="120" w:type="dxa"/>
        </w:tblCellMar>
      </w:tblPr>
      <w:tblGrid>
        <w:gridCol w:w="2268"/>
        <w:gridCol w:w="2410"/>
        <w:gridCol w:w="1985"/>
        <w:gridCol w:w="1842"/>
      </w:tblGrid>
      <w:tr>
        <w:trPr>
          <w:trHeight w:val="614" w:hRule="exact"/>
        </w:trPr>
        <w:tc>
          <w:tcPr>
            <w:tcW w:w="2268" w:type="dxa"/>
            <w:tcBorders/>
          </w:tcPr>
          <w:p>
            <w:pPr>
              <w:pStyle w:val="Normal"/>
              <w:keepNext w:val="true"/>
              <w:spacing w:before="0" w:after="200"/>
              <w:jc w:val="start"/>
              <w:rPr>
                <w:sz w:val="18"/>
              </w:rPr>
            </w:pPr>
            <w:r>
              <w:rPr>
                <w:sz w:val="18"/>
              </w:rPr>
              <w:t>Moody's</w:t>
            </w:r>
          </w:p>
        </w:tc>
        <w:tc>
          <w:tcPr>
            <w:tcW w:w="2410" w:type="dxa"/>
            <w:tcBorders/>
          </w:tcPr>
          <w:p>
            <w:pPr>
              <w:pStyle w:val="Normal"/>
              <w:keepNext w:val="true"/>
              <w:spacing w:before="0" w:after="200"/>
              <w:jc w:val="start"/>
              <w:rPr>
                <w:sz w:val="18"/>
              </w:rPr>
            </w:pPr>
            <w:r>
              <w:rPr>
                <w:sz w:val="18"/>
              </w:rPr>
              <w:t>S&amp;P</w:t>
            </w:r>
          </w:p>
        </w:tc>
        <w:tc>
          <w:tcPr>
            <w:tcW w:w="1985" w:type="dxa"/>
            <w:tcBorders/>
          </w:tcPr>
          <w:p>
            <w:pPr>
              <w:pStyle w:val="Normal"/>
              <w:keepNext w:val="true"/>
              <w:spacing w:before="0" w:after="200"/>
              <w:jc w:val="start"/>
              <w:rPr>
                <w:sz w:val="18"/>
              </w:rPr>
            </w:pPr>
            <w:r>
              <w:rPr>
                <w:sz w:val="18"/>
              </w:rPr>
              <w:t>Threshold</w:t>
            </w:r>
          </w:p>
        </w:tc>
        <w:tc>
          <w:tcPr>
            <w:tcW w:w="1842" w:type="dxa"/>
            <w:tcBorders/>
          </w:tcPr>
          <w:p>
            <w:pPr>
              <w:pStyle w:val="Normal"/>
              <w:keepNext w:val="true"/>
              <w:spacing w:before="0" w:after="200"/>
              <w:jc w:val="start"/>
              <w:rPr>
                <w:sz w:val="18"/>
              </w:rPr>
            </w:pPr>
            <w:r>
              <w:rPr>
                <w:sz w:val="18"/>
              </w:rPr>
              <w:t>Minimum Transfer Amount</w:t>
            </w:r>
          </w:p>
        </w:tc>
      </w:tr>
      <w:tr>
        <w:trPr/>
        <w:tc>
          <w:tcPr>
            <w:tcW w:w="2268" w:type="dxa"/>
            <w:tcBorders/>
          </w:tcPr>
          <w:p>
            <w:pPr>
              <w:pStyle w:val="Normal"/>
              <w:keepNext w:val="true"/>
              <w:spacing w:lineRule="auto" w:line="240" w:before="0" w:after="0"/>
              <w:jc w:val="start"/>
              <w:rPr>
                <w:sz w:val="18"/>
              </w:rPr>
            </w:pPr>
            <w:r>
              <w:rPr>
                <w:sz w:val="18"/>
              </w:rPr>
              <w:t>Aaa</w:t>
            </w:r>
          </w:p>
        </w:tc>
        <w:tc>
          <w:tcPr>
            <w:tcW w:w="2410" w:type="dxa"/>
            <w:tcBorders/>
          </w:tcPr>
          <w:p>
            <w:pPr>
              <w:pStyle w:val="Normal"/>
              <w:keepNext w:val="true"/>
              <w:spacing w:lineRule="auto" w:line="240" w:before="0" w:after="0"/>
              <w:jc w:val="start"/>
              <w:rPr>
                <w:sz w:val="18"/>
              </w:rPr>
            </w:pPr>
            <w:r>
              <w:rPr>
                <w:sz w:val="18"/>
              </w:rPr>
              <w:t>AAA</w:t>
            </w:r>
          </w:p>
        </w:tc>
        <w:tc>
          <w:tcPr>
            <w:tcW w:w="1985" w:type="dxa"/>
            <w:tcBorders/>
          </w:tcPr>
          <w:p>
            <w:pPr>
              <w:pStyle w:val="Normal"/>
              <w:keepNext w:val="true"/>
              <w:spacing w:lineRule="auto" w:line="240" w:before="0" w:after="0"/>
              <w:jc w:val="start"/>
              <w:rPr>
                <w:sz w:val="18"/>
              </w:rPr>
            </w:pPr>
            <w:r>
              <w:rPr>
                <w:sz w:val="18"/>
              </w:rPr>
              <w:t>USD 25,000,000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Aa1</w:t>
            </w:r>
          </w:p>
        </w:tc>
        <w:tc>
          <w:tcPr>
            <w:tcW w:w="2410" w:type="dxa"/>
            <w:tcBorders/>
          </w:tcPr>
          <w:p>
            <w:pPr>
              <w:pStyle w:val="Normal"/>
              <w:keepNext w:val="true"/>
              <w:spacing w:lineRule="auto" w:line="240" w:before="0" w:after="0"/>
              <w:jc w:val="start"/>
              <w:rPr>
                <w:sz w:val="18"/>
              </w:rPr>
            </w:pPr>
            <w:r>
              <w:rPr>
                <w:sz w:val="18"/>
              </w:rPr>
              <w:t>AA+</w:t>
            </w:r>
          </w:p>
        </w:tc>
        <w:tc>
          <w:tcPr>
            <w:tcW w:w="1985" w:type="dxa"/>
            <w:tcBorders/>
          </w:tcPr>
          <w:p>
            <w:pPr>
              <w:pStyle w:val="Normal"/>
              <w:keepNext w:val="true"/>
              <w:spacing w:lineRule="auto" w:line="240" w:before="0" w:after="0"/>
              <w:jc w:val="start"/>
              <w:rPr>
                <w:sz w:val="18"/>
              </w:rPr>
            </w:pPr>
            <w:r>
              <w:rPr>
                <w:sz w:val="18"/>
              </w:rPr>
              <w:t>USD 25,000,000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Aa2</w:t>
            </w:r>
          </w:p>
        </w:tc>
        <w:tc>
          <w:tcPr>
            <w:tcW w:w="2410" w:type="dxa"/>
            <w:tcBorders/>
          </w:tcPr>
          <w:p>
            <w:pPr>
              <w:pStyle w:val="Normal"/>
              <w:keepNext w:val="true"/>
              <w:spacing w:lineRule="auto" w:line="240" w:before="0" w:after="0"/>
              <w:jc w:val="start"/>
              <w:rPr>
                <w:sz w:val="18"/>
              </w:rPr>
            </w:pPr>
            <w:r>
              <w:rPr>
                <w:sz w:val="18"/>
              </w:rPr>
              <w:t>AA</w:t>
            </w:r>
          </w:p>
        </w:tc>
        <w:tc>
          <w:tcPr>
            <w:tcW w:w="1985" w:type="dxa"/>
            <w:tcBorders/>
          </w:tcPr>
          <w:p>
            <w:pPr>
              <w:pStyle w:val="Normal"/>
              <w:keepNext w:val="true"/>
              <w:spacing w:lineRule="auto" w:line="240" w:before="0" w:after="0"/>
              <w:jc w:val="start"/>
              <w:rPr>
                <w:sz w:val="18"/>
              </w:rPr>
            </w:pPr>
            <w:r>
              <w:rPr>
                <w:sz w:val="18"/>
              </w:rPr>
              <w:t>USD 25,000,000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Aa3</w:t>
            </w:r>
          </w:p>
        </w:tc>
        <w:tc>
          <w:tcPr>
            <w:tcW w:w="2410" w:type="dxa"/>
            <w:tcBorders/>
          </w:tcPr>
          <w:p>
            <w:pPr>
              <w:pStyle w:val="Normal"/>
              <w:keepNext w:val="true"/>
              <w:spacing w:lineRule="auto" w:line="240" w:before="0" w:after="0"/>
              <w:jc w:val="start"/>
              <w:rPr>
                <w:sz w:val="18"/>
              </w:rPr>
            </w:pPr>
            <w:r>
              <w:rPr>
                <w:sz w:val="18"/>
              </w:rPr>
              <w:t>AA-</w:t>
            </w:r>
          </w:p>
        </w:tc>
        <w:tc>
          <w:tcPr>
            <w:tcW w:w="1985" w:type="dxa"/>
            <w:tcBorders/>
          </w:tcPr>
          <w:p>
            <w:pPr>
              <w:pStyle w:val="Normal"/>
              <w:keepNext w:val="true"/>
              <w:spacing w:lineRule="auto" w:line="240" w:before="0" w:after="0"/>
              <w:jc w:val="start"/>
              <w:rPr>
                <w:sz w:val="18"/>
              </w:rPr>
            </w:pPr>
            <w:r>
              <w:rPr>
                <w:sz w:val="18"/>
              </w:rPr>
              <w:t>USD 25,000,000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A1</w:t>
            </w:r>
          </w:p>
        </w:tc>
        <w:tc>
          <w:tcPr>
            <w:tcW w:w="2410" w:type="dxa"/>
            <w:tcBorders/>
          </w:tcPr>
          <w:p>
            <w:pPr>
              <w:pStyle w:val="Normal"/>
              <w:keepNext w:val="true"/>
              <w:spacing w:lineRule="auto" w:line="240" w:before="0" w:after="0"/>
              <w:jc w:val="start"/>
              <w:rPr>
                <w:sz w:val="18"/>
              </w:rPr>
            </w:pPr>
            <w:r>
              <w:rPr>
                <w:sz w:val="18"/>
              </w:rPr>
              <w:t>A+</w:t>
            </w:r>
          </w:p>
        </w:tc>
        <w:tc>
          <w:tcPr>
            <w:tcW w:w="1985" w:type="dxa"/>
            <w:tcBorders/>
          </w:tcPr>
          <w:p>
            <w:pPr>
              <w:pStyle w:val="Normal"/>
              <w:keepNext w:val="true"/>
              <w:spacing w:lineRule="auto" w:line="240" w:before="0" w:after="0"/>
              <w:jc w:val="start"/>
              <w:rPr>
                <w:sz w:val="18"/>
              </w:rPr>
            </w:pPr>
            <w:r>
              <w:rPr>
                <w:sz w:val="18"/>
              </w:rPr>
              <w:t>USD 20,000,000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A2</w:t>
            </w:r>
          </w:p>
        </w:tc>
        <w:tc>
          <w:tcPr>
            <w:tcW w:w="2410" w:type="dxa"/>
            <w:tcBorders/>
          </w:tcPr>
          <w:p>
            <w:pPr>
              <w:pStyle w:val="Normal"/>
              <w:keepNext w:val="true"/>
              <w:spacing w:lineRule="auto" w:line="240" w:before="0" w:after="0"/>
              <w:jc w:val="start"/>
              <w:rPr>
                <w:sz w:val="18"/>
              </w:rPr>
            </w:pPr>
            <w:r>
              <w:rPr>
                <w:sz w:val="18"/>
              </w:rPr>
              <w:t>A</w:t>
            </w:r>
          </w:p>
        </w:tc>
        <w:tc>
          <w:tcPr>
            <w:tcW w:w="1985" w:type="dxa"/>
            <w:tcBorders/>
          </w:tcPr>
          <w:p>
            <w:pPr>
              <w:pStyle w:val="Normal"/>
              <w:keepNext w:val="true"/>
              <w:spacing w:lineRule="auto" w:line="240" w:before="0" w:after="0"/>
              <w:jc w:val="start"/>
              <w:rPr>
                <w:sz w:val="18"/>
              </w:rPr>
            </w:pPr>
            <w:r>
              <w:rPr>
                <w:sz w:val="18"/>
              </w:rPr>
              <w:t>USD 15,000,000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A3</w:t>
            </w:r>
          </w:p>
        </w:tc>
        <w:tc>
          <w:tcPr>
            <w:tcW w:w="2410" w:type="dxa"/>
            <w:tcBorders/>
          </w:tcPr>
          <w:p>
            <w:pPr>
              <w:pStyle w:val="Normal"/>
              <w:keepNext w:val="true"/>
              <w:spacing w:lineRule="auto" w:line="240" w:before="0" w:after="0"/>
              <w:jc w:val="start"/>
              <w:rPr>
                <w:sz w:val="18"/>
              </w:rPr>
            </w:pPr>
            <w:r>
              <w:rPr>
                <w:sz w:val="18"/>
              </w:rPr>
              <w:t>A-</w:t>
            </w:r>
          </w:p>
        </w:tc>
        <w:tc>
          <w:tcPr>
            <w:tcW w:w="1985" w:type="dxa"/>
            <w:tcBorders/>
          </w:tcPr>
          <w:p>
            <w:pPr>
              <w:pStyle w:val="Normal"/>
              <w:keepNext w:val="true"/>
              <w:spacing w:lineRule="auto" w:line="240" w:before="0" w:after="0"/>
              <w:jc w:val="start"/>
              <w:rPr>
                <w:sz w:val="18"/>
              </w:rPr>
            </w:pPr>
            <w:r>
              <w:rPr>
                <w:sz w:val="18"/>
              </w:rPr>
              <w:t>USD 10,000,000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Baal</w:t>
            </w:r>
          </w:p>
        </w:tc>
        <w:tc>
          <w:tcPr>
            <w:tcW w:w="2410" w:type="dxa"/>
            <w:tcBorders/>
          </w:tcPr>
          <w:p>
            <w:pPr>
              <w:pStyle w:val="Normal"/>
              <w:keepNext w:val="true"/>
              <w:spacing w:lineRule="auto" w:line="240" w:before="0" w:after="0"/>
              <w:jc w:val="start"/>
              <w:rPr>
                <w:sz w:val="18"/>
              </w:rPr>
            </w:pPr>
            <w:r>
              <w:rPr>
                <w:sz w:val="18"/>
              </w:rPr>
              <w:t>BBB+</w:t>
            </w:r>
          </w:p>
        </w:tc>
        <w:tc>
          <w:tcPr>
            <w:tcW w:w="1985" w:type="dxa"/>
            <w:tcBorders/>
          </w:tcPr>
          <w:p>
            <w:pPr>
              <w:pStyle w:val="Normal"/>
              <w:keepNext w:val="true"/>
              <w:spacing w:lineRule="auto" w:line="240" w:before="0" w:after="0"/>
              <w:jc w:val="start"/>
              <w:rPr>
                <w:sz w:val="18"/>
              </w:rPr>
            </w:pPr>
            <w:r>
              <w:rPr>
                <w:sz w:val="18"/>
              </w:rPr>
              <w:t>USD 5,000,000</w:t>
            </w:r>
          </w:p>
        </w:tc>
        <w:tc>
          <w:tcPr>
            <w:tcW w:w="1842" w:type="dxa"/>
            <w:tcBorders/>
          </w:tcPr>
          <w:p>
            <w:pPr>
              <w:pStyle w:val="Normal"/>
              <w:keepNext w:val="true"/>
              <w:spacing w:lineRule="auto" w:line="240" w:before="0" w:after="0"/>
              <w:rPr>
                <w:sz w:val="18"/>
              </w:rPr>
            </w:pPr>
            <w:r>
              <w:rPr>
                <w:sz w:val="18"/>
              </w:rPr>
              <w:t>USD 1,000,000</w:t>
            </w:r>
          </w:p>
        </w:tc>
      </w:tr>
      <w:tr>
        <w:trPr/>
        <w:tc>
          <w:tcPr>
            <w:tcW w:w="2268" w:type="dxa"/>
            <w:tcBorders/>
          </w:tcPr>
          <w:p>
            <w:pPr>
              <w:pStyle w:val="Normal"/>
              <w:keepNext w:val="true"/>
              <w:spacing w:lineRule="auto" w:line="240" w:before="0" w:after="0"/>
              <w:jc w:val="start"/>
              <w:rPr>
                <w:sz w:val="18"/>
              </w:rPr>
            </w:pPr>
            <w:r>
              <w:rPr>
                <w:sz w:val="18"/>
              </w:rPr>
              <w:t>Baa2</w:t>
            </w:r>
          </w:p>
        </w:tc>
        <w:tc>
          <w:tcPr>
            <w:tcW w:w="2410" w:type="dxa"/>
            <w:tcBorders/>
          </w:tcPr>
          <w:p>
            <w:pPr>
              <w:pStyle w:val="Normal"/>
              <w:keepNext w:val="true"/>
              <w:spacing w:lineRule="auto" w:line="240" w:before="0" w:after="0"/>
              <w:jc w:val="start"/>
              <w:rPr>
                <w:sz w:val="18"/>
              </w:rPr>
            </w:pPr>
            <w:r>
              <w:rPr>
                <w:sz w:val="18"/>
              </w:rPr>
              <w:t>BBB</w:t>
            </w:r>
          </w:p>
        </w:tc>
        <w:tc>
          <w:tcPr>
            <w:tcW w:w="1985" w:type="dxa"/>
            <w:tcBorders/>
          </w:tcPr>
          <w:p>
            <w:pPr>
              <w:pStyle w:val="Normal"/>
              <w:keepNext w:val="true"/>
              <w:spacing w:lineRule="auto" w:line="240" w:before="0" w:after="0"/>
              <w:jc w:val="start"/>
              <w:rPr>
                <w:sz w:val="18"/>
              </w:rPr>
            </w:pPr>
            <w:r>
              <w:rPr>
                <w:sz w:val="18"/>
              </w:rPr>
              <w:t>USD 2,500,000</w:t>
            </w:r>
          </w:p>
        </w:tc>
        <w:tc>
          <w:tcPr>
            <w:tcW w:w="1842" w:type="dxa"/>
            <w:tcBorders/>
          </w:tcPr>
          <w:p>
            <w:pPr>
              <w:pStyle w:val="Normal"/>
              <w:keepNext w:val="true"/>
              <w:spacing w:lineRule="auto" w:line="240" w:before="0" w:after="0"/>
              <w:rPr>
                <w:sz w:val="18"/>
              </w:rPr>
            </w:pPr>
            <w:r>
              <w:rPr>
                <w:sz w:val="18"/>
              </w:rPr>
              <w:t>USD 100,000</w:t>
            </w:r>
          </w:p>
        </w:tc>
      </w:tr>
      <w:tr>
        <w:trPr/>
        <w:tc>
          <w:tcPr>
            <w:tcW w:w="2268" w:type="dxa"/>
            <w:tcBorders/>
          </w:tcPr>
          <w:p>
            <w:pPr>
              <w:pStyle w:val="Normal"/>
              <w:keepNext w:val="true"/>
              <w:spacing w:lineRule="auto" w:line="240" w:before="0" w:after="0"/>
              <w:jc w:val="start"/>
              <w:rPr>
                <w:sz w:val="18"/>
              </w:rPr>
            </w:pPr>
            <w:r>
              <w:rPr>
                <w:sz w:val="18"/>
              </w:rPr>
              <w:t>Baa3 and below or unrated (if previously rated) by S&amp;P and Moody's</w:t>
            </w:r>
          </w:p>
        </w:tc>
        <w:tc>
          <w:tcPr>
            <w:tcW w:w="2410" w:type="dxa"/>
            <w:tcBorders/>
          </w:tcPr>
          <w:p>
            <w:pPr>
              <w:pStyle w:val="Normal"/>
              <w:keepNext w:val="true"/>
              <w:spacing w:lineRule="auto" w:line="240" w:before="0" w:after="0"/>
              <w:jc w:val="start"/>
              <w:rPr>
                <w:sz w:val="18"/>
              </w:rPr>
            </w:pPr>
            <w:r>
              <w:rPr>
                <w:sz w:val="18"/>
              </w:rPr>
              <w:t>BBB- and below or unrated (if previously rated) by S&amp;P and Moody's</w:t>
            </w:r>
          </w:p>
        </w:tc>
        <w:tc>
          <w:tcPr>
            <w:tcW w:w="1985" w:type="dxa"/>
            <w:tcBorders/>
          </w:tcPr>
          <w:p>
            <w:pPr>
              <w:pStyle w:val="Normal"/>
              <w:keepNext w:val="true"/>
              <w:spacing w:lineRule="auto" w:line="240" w:before="0" w:after="0"/>
              <w:jc w:val="start"/>
              <w:rPr>
                <w:sz w:val="18"/>
              </w:rPr>
            </w:pPr>
            <w:r>
              <w:rPr>
                <w:sz w:val="18"/>
              </w:rPr>
              <w:t>Zero</w:t>
            </w:r>
          </w:p>
        </w:tc>
        <w:tc>
          <w:tcPr>
            <w:tcW w:w="1842" w:type="dxa"/>
            <w:tcBorders/>
          </w:tcPr>
          <w:p>
            <w:pPr>
              <w:pStyle w:val="Normal"/>
              <w:keepNext w:val="true"/>
              <w:spacing w:lineRule="auto" w:line="240" w:before="0" w:after="0"/>
              <w:rPr>
                <w:sz w:val="18"/>
              </w:rPr>
            </w:pPr>
            <w:r>
              <w:rPr>
                <w:sz w:val="18"/>
              </w:rPr>
              <w:t>USD 100,000</w:t>
            </w:r>
          </w:p>
        </w:tc>
      </w:tr>
    </w:tbl>
    <w:p>
      <w:pPr>
        <w:pStyle w:val="LISTALPHACAPS3"/>
        <w:numPr>
          <w:ilvl w:val="0"/>
          <w:numId w:val="0"/>
        </w:numPr>
        <w:spacing w:before="0" w:after="0"/>
        <w:ind w:hanging="0" w:start="1417" w:end="0"/>
        <w:rPr>
          <w:sz w:val="18"/>
        </w:rPr>
      </w:pPr>
      <w:r>
        <w:rPr>
          <w:sz w:val="18"/>
        </w:rPr>
      </w:r>
    </w:p>
    <w:p>
      <w:pPr>
        <w:pStyle w:val="LISTALPHACAPS3"/>
        <w:numPr>
          <w:ilvl w:val="2"/>
          <w:numId w:val="4"/>
        </w:numPr>
        <w:ind w:hanging="0" w:start="0"/>
        <w:rPr>
          <w:sz w:val="18"/>
        </w:rPr>
      </w:pPr>
      <w:r>
        <w:rPr>
          <w:b/>
          <w:i/>
          <w:sz w:val="18"/>
        </w:rPr>
        <w:t>Rounding.</w:t>
      </w:r>
      <w:r>
        <w:rPr>
          <w:sz w:val="18"/>
        </w:rPr>
        <w:t xml:space="preserve">  The Delivery Amount and the Return Amount will not be rounded up or down.</w:t>
      </w:r>
    </w:p>
    <w:p>
      <w:pPr>
        <w:pStyle w:val="ListAlpha1"/>
        <w:numPr>
          <w:ilvl w:val="0"/>
          <w:numId w:val="7"/>
        </w:numPr>
        <w:ind w:hanging="0" w:start="0"/>
        <w:rPr>
          <w:b/>
          <w:i/>
          <w:i/>
          <w:sz w:val="18"/>
        </w:rPr>
      </w:pPr>
      <w:r>
        <w:rPr>
          <w:b/>
          <w:i/>
          <w:sz w:val="18"/>
        </w:rPr>
        <w:t>Valuation and Timing.</w:t>
      </w:r>
    </w:p>
    <w:p>
      <w:pPr>
        <w:pStyle w:val="ListRoman2"/>
        <w:numPr>
          <w:ilvl w:val="1"/>
          <w:numId w:val="10"/>
        </w:numPr>
        <w:ind w:hanging="0" w:start="0"/>
        <w:rPr>
          <w:sz w:val="18"/>
        </w:rPr>
      </w:pPr>
      <w:r>
        <w:rPr>
          <w:b/>
          <w:i/>
          <w:sz w:val="18"/>
        </w:rPr>
        <w:t>"Valuation Agent"</w:t>
      </w:r>
      <w:r>
        <w:rPr>
          <w:sz w:val="18"/>
        </w:rPr>
        <w:t xml:space="preserve"> means  for purposes of Paragraphs 3 and 5, the party making the demand under Paragraph 3, and, for purposes of Paragraph 6(d), the Secured Party receiving or deemed to receive the Distributions or the Interest Amount, as applicable.</w:t>
      </w:r>
    </w:p>
    <w:p>
      <w:pPr>
        <w:pStyle w:val="ListRoman2"/>
        <w:numPr>
          <w:ilvl w:val="1"/>
          <w:numId w:val="5"/>
        </w:numPr>
        <w:ind w:hanging="794" w:start="1418" w:end="0"/>
        <w:rPr>
          <w:sz w:val="18"/>
        </w:rPr>
      </w:pPr>
      <w:r>
        <w:rPr>
          <w:b/>
          <w:i/>
          <w:sz w:val="18"/>
        </w:rPr>
        <w:t>"Valuation Date"</w:t>
      </w:r>
      <w:r>
        <w:rPr>
          <w:sz w:val="18"/>
        </w:rPr>
        <w:t xml:space="preserve"> means each London and New York Banking Day (as defined in the 2000 ISDA Definitions as published by the International Swaps and Derivatives Association, Inc. ("</w:t>
      </w:r>
      <w:r>
        <w:rPr>
          <w:b/>
          <w:sz w:val="18"/>
        </w:rPr>
        <w:t>ISDA</w:t>
      </w:r>
      <w:r>
        <w:rPr>
          <w:sz w:val="18"/>
        </w:rPr>
        <w:t>") without regard to any amendment after the date hereof (the "</w:t>
      </w:r>
      <w:r>
        <w:rPr>
          <w:b/>
          <w:sz w:val="18"/>
        </w:rPr>
        <w:t>ISDA Definitions</w:t>
      </w:r>
      <w:r>
        <w:rPr>
          <w:sz w:val="18"/>
        </w:rPr>
        <w:t>")).</w:t>
      </w:r>
    </w:p>
    <w:p>
      <w:pPr>
        <w:pStyle w:val="ListRoman2"/>
        <w:numPr>
          <w:ilvl w:val="1"/>
          <w:numId w:val="5"/>
        </w:numPr>
        <w:ind w:hanging="0" w:start="0"/>
        <w:rPr>
          <w:sz w:val="18"/>
        </w:rPr>
      </w:pPr>
      <w:r>
        <w:rPr>
          <w:b/>
          <w:i/>
          <w:sz w:val="18"/>
        </w:rPr>
        <w:t xml:space="preserve">"Valuation Time" </w:t>
      </w:r>
      <w:r>
        <w:rPr>
          <w:sz w:val="18"/>
        </w:rPr>
        <w:t xml:space="preserve">means the close of business in London and New York Banking Day Banking Day before the Valuation Date or date of calculation, as applicable, or any time on the Valuation Date or date of calculation, as applicable; </w:t>
      </w:r>
      <w:r>
        <w:rPr>
          <w:i/>
          <w:sz w:val="18"/>
        </w:rPr>
        <w:t>provided</w:t>
      </w:r>
      <w:r>
        <w:rPr>
          <w:sz w:val="18"/>
        </w:rPr>
        <w:t xml:space="preserve"> that the calculations of Value and Exposure will be made as of approximately the same time on the same date.</w:t>
      </w:r>
    </w:p>
    <w:p>
      <w:pPr>
        <w:pStyle w:val="ListRoman2"/>
        <w:numPr>
          <w:ilvl w:val="1"/>
          <w:numId w:val="5"/>
        </w:numPr>
        <w:ind w:hanging="0" w:start="0"/>
        <w:rPr>
          <w:sz w:val="18"/>
        </w:rPr>
      </w:pPr>
      <w:r>
        <w:rPr>
          <w:i/>
          <w:sz w:val="18"/>
        </w:rPr>
        <w:t>"</w:t>
      </w:r>
      <w:r>
        <w:rPr>
          <w:b/>
          <w:i/>
          <w:sz w:val="18"/>
        </w:rPr>
        <w:t>Notification Time</w:t>
      </w:r>
      <w:r>
        <w:rPr>
          <w:i/>
          <w:sz w:val="18"/>
        </w:rPr>
        <w:t>"</w:t>
      </w:r>
      <w:r>
        <w:rPr>
          <w:sz w:val="18"/>
        </w:rPr>
        <w:t xml:space="preserve"> means 2:00 p.m., London time, on a Local Business Day.  </w:t>
      </w:r>
    </w:p>
    <w:p>
      <w:pPr>
        <w:pStyle w:val="ListAlpha1"/>
        <w:numPr>
          <w:ilvl w:val="0"/>
          <w:numId w:val="7"/>
        </w:numPr>
        <w:ind w:hanging="0" w:start="0"/>
        <w:rPr>
          <w:sz w:val="18"/>
        </w:rPr>
      </w:pPr>
      <w:r>
        <w:rPr>
          <w:b/>
          <w:i/>
          <w:sz w:val="18"/>
        </w:rPr>
        <w:t>Conditions Precedent and Secured Party's Rights and Remedies.</w:t>
      </w:r>
      <w:r>
        <w:rPr>
          <w:sz w:val="18"/>
        </w:rPr>
        <w:t xml:space="preserve"> No Termination Event shall be a "</w:t>
      </w:r>
      <w:r>
        <w:rPr>
          <w:i/>
          <w:sz w:val="18"/>
        </w:rPr>
        <w:t>Specified Condition</w:t>
      </w:r>
      <w:r>
        <w:rPr>
          <w:sz w:val="18"/>
        </w:rPr>
        <w:t xml:space="preserve">". </w:t>
      </w:r>
    </w:p>
    <w:p>
      <w:pPr>
        <w:pStyle w:val="ListAlpha1"/>
        <w:numPr>
          <w:ilvl w:val="0"/>
          <w:numId w:val="7"/>
        </w:numPr>
        <w:ind w:hanging="0" w:start="0"/>
        <w:rPr>
          <w:b/>
          <w:i/>
          <w:i/>
          <w:sz w:val="18"/>
        </w:rPr>
      </w:pPr>
      <w:r>
        <w:rPr>
          <w:b/>
          <w:i/>
          <w:sz w:val="18"/>
        </w:rPr>
        <w:t>Substitution.</w:t>
      </w:r>
    </w:p>
    <w:p>
      <w:pPr>
        <w:pStyle w:val="ListRoman2"/>
        <w:numPr>
          <w:ilvl w:val="1"/>
          <w:numId w:val="11"/>
        </w:numPr>
        <w:ind w:hanging="0" w:start="0"/>
        <w:rPr>
          <w:sz w:val="18"/>
        </w:rPr>
      </w:pPr>
      <w:r>
        <w:rPr>
          <w:b/>
          <w:i/>
          <w:sz w:val="18"/>
        </w:rPr>
        <w:t xml:space="preserve">"Substitution Date" </w:t>
      </w:r>
      <w:r>
        <w:rPr>
          <w:sz w:val="18"/>
        </w:rPr>
        <w:t xml:space="preserve"> has the meaning specified in Paragraph 4(d)(ii).</w:t>
      </w:r>
    </w:p>
    <w:p>
      <w:pPr>
        <w:pStyle w:val="ListRoman2"/>
        <w:numPr>
          <w:ilvl w:val="1"/>
          <w:numId w:val="5"/>
        </w:numPr>
        <w:ind w:hanging="0" w:start="0"/>
        <w:rPr>
          <w:sz w:val="18"/>
        </w:rPr>
      </w:pPr>
      <w:r>
        <w:rPr>
          <w:b/>
          <w:i/>
          <w:sz w:val="18"/>
        </w:rPr>
        <w:t>Consent.</w:t>
      </w:r>
      <w:r>
        <w:rPr>
          <w:sz w:val="18"/>
        </w:rPr>
        <w:t xml:space="preserve">  The Pledgor need not obtain the Secured Party's consent for any substitution pursuant to Paragraph 4(d).</w:t>
      </w:r>
    </w:p>
    <w:p>
      <w:pPr>
        <w:pStyle w:val="ListAlpha1"/>
        <w:keepNext w:val="true"/>
        <w:keepLines/>
        <w:numPr>
          <w:ilvl w:val="0"/>
          <w:numId w:val="7"/>
        </w:numPr>
        <w:ind w:hanging="0" w:start="0"/>
        <w:rPr>
          <w:b/>
          <w:i/>
          <w:i/>
          <w:sz w:val="18"/>
        </w:rPr>
      </w:pPr>
      <w:r>
        <w:rPr>
          <w:b/>
          <w:i/>
          <w:sz w:val="18"/>
        </w:rPr>
        <w:t>Dispute Resolution.</w:t>
      </w:r>
    </w:p>
    <w:p>
      <w:pPr>
        <w:pStyle w:val="ListRoman2"/>
        <w:numPr>
          <w:ilvl w:val="1"/>
          <w:numId w:val="12"/>
        </w:numPr>
        <w:ind w:hanging="0" w:start="0"/>
        <w:rPr>
          <w:sz w:val="18"/>
        </w:rPr>
      </w:pPr>
      <w:r>
        <w:rPr>
          <w:b/>
          <w:i/>
          <w:sz w:val="18"/>
        </w:rPr>
        <w:t xml:space="preserve">"Resolution Time" </w:t>
      </w:r>
      <w:r>
        <w:rPr>
          <w:sz w:val="18"/>
        </w:rPr>
        <w:t>means the close of business in New York on the Local Business Day on which the notice of the dispute is given under Paragraph 5, and Paragraph 5 will be read as if "the close of business" in the fourth line is replaced by "1.00 p.m., New York time,".</w:t>
      </w:r>
    </w:p>
    <w:p>
      <w:pPr>
        <w:pStyle w:val="ListRoman2"/>
        <w:numPr>
          <w:ilvl w:val="1"/>
          <w:numId w:val="5"/>
        </w:numPr>
        <w:ind w:hanging="0" w:start="0"/>
        <w:rPr>
          <w:sz w:val="18"/>
        </w:rPr>
      </w:pPr>
      <w:r>
        <w:rPr>
          <w:b/>
          <w:i/>
          <w:sz w:val="18"/>
        </w:rPr>
        <w:t>Value</w:t>
      </w:r>
      <w:r>
        <w:rPr>
          <w:sz w:val="18"/>
        </w:rPr>
        <w:t>.  For the purpose of Paragraphs 5(i)(C) and 5(ii), the Value of Posted Credit Support or of any Transfer of Eligible Credit Support or Posted Credit Support, as the case may be, will be calculated by the Valuation Agent in accordance with standard market practice using third party sources (such as, by way of example only, Bloomberg or Reuters) where available.</w:t>
      </w:r>
    </w:p>
    <w:p>
      <w:pPr>
        <w:pStyle w:val="ListRoman2"/>
        <w:numPr>
          <w:ilvl w:val="1"/>
          <w:numId w:val="5"/>
        </w:numPr>
        <w:ind w:hanging="0" w:start="0"/>
        <w:rPr>
          <w:sz w:val="18"/>
        </w:rPr>
      </w:pPr>
      <w:r>
        <w:rPr>
          <w:b/>
          <w:i/>
          <w:sz w:val="18"/>
        </w:rPr>
        <w:t>Alternative</w:t>
      </w:r>
      <w:r>
        <w:rPr>
          <w:sz w:val="18"/>
        </w:rPr>
        <w:t>.  The provisions of Paragraph 5 will apply.</w:t>
      </w:r>
    </w:p>
    <w:p>
      <w:pPr>
        <w:pStyle w:val="ListAlpha1"/>
        <w:numPr>
          <w:ilvl w:val="0"/>
          <w:numId w:val="7"/>
        </w:numPr>
        <w:ind w:hanging="0" w:start="0"/>
        <w:rPr>
          <w:b/>
          <w:i/>
          <w:i/>
          <w:sz w:val="18"/>
        </w:rPr>
      </w:pPr>
      <w:r>
        <w:rPr>
          <w:b/>
          <w:i/>
          <w:sz w:val="18"/>
        </w:rPr>
        <w:t>Holding and Using Posted Collateral.</w:t>
      </w:r>
      <w:r>
        <w:rPr>
          <w:b/>
          <w:sz w:val="18"/>
        </w:rPr>
        <w:t xml:space="preserve">  </w:t>
      </w:r>
    </w:p>
    <w:p>
      <w:pPr>
        <w:pStyle w:val="ListRoman2"/>
        <w:numPr>
          <w:ilvl w:val="1"/>
          <w:numId w:val="13"/>
        </w:numPr>
        <w:ind w:hanging="0" w:start="0"/>
        <w:rPr>
          <w:sz w:val="18"/>
        </w:rPr>
      </w:pPr>
      <w:r>
        <w:rPr>
          <w:b/>
          <w:i/>
          <w:sz w:val="18"/>
        </w:rPr>
        <w:t>Eligibility to Hold Posted Collateral; Custodians.</w:t>
      </w:r>
      <w:r>
        <w:rPr>
          <w:sz w:val="18"/>
        </w:rPr>
        <w:t xml:space="preserve">  Party A and its Custodian will be entitled to hold Posted Collateral pursuant to Paragraph 6(b); </w:t>
      </w:r>
      <w:r>
        <w:rPr>
          <w:i/>
          <w:sz w:val="18"/>
        </w:rPr>
        <w:t>provided</w:t>
      </w:r>
      <w:r>
        <w:rPr>
          <w:sz w:val="18"/>
        </w:rPr>
        <w:t xml:space="preserve"> that the following conditions applicable to it are satisfied:</w:t>
      </w:r>
    </w:p>
    <w:p>
      <w:pPr>
        <w:pStyle w:val="LISTALPHACAPS3"/>
        <w:numPr>
          <w:ilvl w:val="2"/>
          <w:numId w:val="14"/>
        </w:numPr>
        <w:ind w:hanging="0" w:start="0"/>
        <w:rPr>
          <w:sz w:val="18"/>
        </w:rPr>
      </w:pPr>
      <w:r>
        <w:rPr>
          <w:sz w:val="18"/>
        </w:rPr>
        <w:t>Party A is not a Defaulting Party.</w:t>
      </w:r>
    </w:p>
    <w:p>
      <w:pPr>
        <w:pStyle w:val="LISTALPHACAPS3"/>
        <w:numPr>
          <w:ilvl w:val="2"/>
          <w:numId w:val="4"/>
        </w:numPr>
        <w:ind w:hanging="0" w:start="0"/>
        <w:rPr>
          <w:sz w:val="18"/>
        </w:rPr>
      </w:pPr>
      <w:r>
        <w:rPr>
          <w:sz w:val="18"/>
        </w:rPr>
        <w:t>Posted Collateral may be held only in the following jurisdictions:  the United States of America in the case of USD</w:t>
      </w:r>
    </w:p>
    <w:p>
      <w:pPr>
        <w:pStyle w:val="BodyText2"/>
        <w:ind w:start="1418" w:end="0"/>
        <w:rPr>
          <w:b/>
          <w:sz w:val="18"/>
        </w:rPr>
      </w:pPr>
      <w:r>
        <w:rPr>
          <w:sz w:val="18"/>
        </w:rPr>
        <w:t xml:space="preserve">Initially, the </w:t>
      </w:r>
      <w:r>
        <w:rPr>
          <w:b/>
          <w:sz w:val="18"/>
        </w:rPr>
        <w:t>Custodian</w:t>
      </w:r>
      <w:r>
        <w:rPr>
          <w:sz w:val="18"/>
        </w:rPr>
        <w:t xml:space="preserve"> for Party A is, with respect to Cash in the form of USD, Citibank, New York, and, with respect to all other Posted Collateral, Bank of New York, New York, a/c Morgan Stanley &amp; Co. Incorporated.  </w:t>
      </w:r>
    </w:p>
    <w:p>
      <w:pPr>
        <w:pStyle w:val="BodyText2"/>
        <w:rPr/>
      </w:pPr>
      <w:r>
        <w:rPr>
          <w:sz w:val="18"/>
        </w:rPr>
        <w:t xml:space="preserve">Party B and its Custodian will be entitled to hold Posted Collateral pursuant to Paragraph 6(b); </w:t>
      </w:r>
      <w:r>
        <w:rPr>
          <w:i/>
          <w:sz w:val="18"/>
        </w:rPr>
        <w:t>provided</w:t>
      </w:r>
      <w:r>
        <w:rPr>
          <w:sz w:val="18"/>
        </w:rPr>
        <w:t xml:space="preserve"> that the following conditions applicable to it are satisfied:</w:t>
      </w:r>
    </w:p>
    <w:p>
      <w:pPr>
        <w:pStyle w:val="ListArabic3"/>
        <w:numPr>
          <w:ilvl w:val="2"/>
          <w:numId w:val="15"/>
        </w:numPr>
        <w:ind w:hanging="0" w:start="0"/>
        <w:rPr>
          <w:sz w:val="18"/>
        </w:rPr>
      </w:pPr>
      <w:r>
        <w:rPr>
          <w:sz w:val="18"/>
        </w:rPr>
        <w:t>Party B is not a Defaulting Party.</w:t>
      </w:r>
    </w:p>
    <w:p>
      <w:pPr>
        <w:pStyle w:val="ListArabic3"/>
        <w:numPr>
          <w:ilvl w:val="2"/>
          <w:numId w:val="2"/>
        </w:numPr>
        <w:ind w:hanging="0" w:start="0"/>
        <w:rPr>
          <w:sz w:val="18"/>
        </w:rPr>
      </w:pPr>
      <w:r>
        <w:rPr>
          <w:sz w:val="18"/>
        </w:rPr>
        <w:t xml:space="preserve">Posted Collateral may be held only in the following jurisdictions: the United States of America in the case of USD. </w:t>
      </w:r>
    </w:p>
    <w:p>
      <w:pPr>
        <w:pStyle w:val="BodyText2"/>
        <w:rPr/>
      </w:pPr>
      <w:r>
        <w:rPr>
          <w:sz w:val="18"/>
        </w:rPr>
        <w:t xml:space="preserve">Initially, the </w:t>
      </w:r>
      <w:r>
        <w:rPr>
          <w:b/>
          <w:sz w:val="18"/>
        </w:rPr>
        <w:t>Custodian</w:t>
      </w:r>
      <w:r>
        <w:rPr>
          <w:sz w:val="18"/>
        </w:rPr>
        <w:t xml:space="preserve"> for Party B is:</w:t>
      </w:r>
    </w:p>
    <w:p>
      <w:pPr>
        <w:pStyle w:val="BodyText2"/>
        <w:rPr/>
      </w:pPr>
      <w:r>
        <w:rPr>
          <w:sz w:val="18"/>
        </w:rPr>
        <w:t>[</w:t>
      </w:r>
      <w:r>
        <w:rPr>
          <w:b/>
          <w:sz w:val="18"/>
        </w:rPr>
        <w:t>PLEASE SPECIFY</w:t>
      </w:r>
      <w:r>
        <w:rPr>
          <w:sz w:val="18"/>
        </w:rPr>
        <w:t>]</w:t>
      </w:r>
    </w:p>
    <w:p>
      <w:pPr>
        <w:pStyle w:val="BodyText2"/>
        <w:rPr>
          <w:sz w:val="18"/>
        </w:rPr>
      </w:pPr>
      <w:r>
        <w:rPr>
          <w:sz w:val="18"/>
        </w:rPr>
      </w:r>
    </w:p>
    <w:p>
      <w:pPr>
        <w:pStyle w:val="ListRoman2"/>
        <w:numPr>
          <w:ilvl w:val="1"/>
          <w:numId w:val="5"/>
        </w:numPr>
        <w:ind w:hanging="0" w:start="0"/>
        <w:rPr>
          <w:sz w:val="18"/>
        </w:rPr>
      </w:pPr>
      <w:r>
        <w:rPr>
          <w:b/>
          <w:i/>
          <w:sz w:val="18"/>
        </w:rPr>
        <w:t xml:space="preserve">Use of Posted Collateral.  </w:t>
      </w:r>
      <w:r>
        <w:rPr>
          <w:sz w:val="18"/>
        </w:rPr>
        <w:t xml:space="preserve">The provisions of Paragraph 6(c) will apply.  </w:t>
      </w:r>
    </w:p>
    <w:p>
      <w:pPr>
        <w:pStyle w:val="ListAlpha1"/>
        <w:numPr>
          <w:ilvl w:val="0"/>
          <w:numId w:val="7"/>
        </w:numPr>
        <w:ind w:hanging="0" w:start="0"/>
        <w:rPr>
          <w:b/>
          <w:i/>
          <w:i/>
          <w:sz w:val="18"/>
        </w:rPr>
      </w:pPr>
      <w:r>
        <w:rPr>
          <w:b/>
          <w:i/>
          <w:sz w:val="18"/>
        </w:rPr>
        <w:t>Distributions and Interest Amount.</w:t>
      </w:r>
    </w:p>
    <w:p>
      <w:pPr>
        <w:pStyle w:val="ListRoman2"/>
        <w:numPr>
          <w:ilvl w:val="1"/>
          <w:numId w:val="16"/>
        </w:numPr>
        <w:ind w:hanging="0" w:start="0"/>
        <w:rPr>
          <w:sz w:val="18"/>
        </w:rPr>
      </w:pPr>
      <w:r>
        <w:rPr>
          <w:sz w:val="18"/>
        </w:rPr>
        <w:t>"</w:t>
      </w:r>
      <w:r>
        <w:rPr>
          <w:b/>
          <w:i/>
          <w:sz w:val="18"/>
        </w:rPr>
        <w:t>Interest Rate</w:t>
      </w:r>
      <w:r>
        <w:rPr>
          <w:sz w:val="18"/>
        </w:rPr>
        <w:t>".  The "Interest Rate" will be as set out in Table 1 in Appendix A and is not subject to compounding.</w:t>
      </w:r>
    </w:p>
    <w:p>
      <w:pPr>
        <w:pStyle w:val="ListRoman2"/>
        <w:numPr>
          <w:ilvl w:val="1"/>
          <w:numId w:val="5"/>
        </w:numPr>
        <w:ind w:hanging="0" w:start="0"/>
        <w:rPr>
          <w:sz w:val="18"/>
        </w:rPr>
      </w:pPr>
      <w:r>
        <w:rPr>
          <w:b/>
          <w:i/>
          <w:sz w:val="18"/>
        </w:rPr>
        <w:t>Transfer of Interest Amount.</w:t>
      </w:r>
      <w:r>
        <w:rPr>
          <w:sz w:val="18"/>
        </w:rPr>
        <w:t xml:space="preserve">  The Transfer of the Interest Amount will be made on the last Local Business Day of each calendar month and on any Local Business Day that Posted Collateral in the form of cash in the relevant currency is Transferred to the Pledgor pursuant to Paragraph 3(b).</w:t>
      </w:r>
    </w:p>
    <w:p>
      <w:pPr>
        <w:pStyle w:val="ListRoman2"/>
        <w:numPr>
          <w:ilvl w:val="1"/>
          <w:numId w:val="5"/>
        </w:numPr>
        <w:ind w:hanging="0" w:start="0"/>
        <w:rPr>
          <w:sz w:val="18"/>
        </w:rPr>
      </w:pPr>
      <w:r>
        <w:rPr>
          <w:b/>
          <w:i/>
          <w:sz w:val="18"/>
        </w:rPr>
        <w:t>Alternative to Interest Amount</w:t>
      </w:r>
      <w:r>
        <w:rPr>
          <w:sz w:val="18"/>
        </w:rPr>
        <w:t>.  The provisions of Paragraph 6(d)(ii) will apply.</w:t>
      </w:r>
    </w:p>
    <w:p>
      <w:pPr>
        <w:pStyle w:val="ListAlpha1"/>
        <w:numPr>
          <w:ilvl w:val="0"/>
          <w:numId w:val="7"/>
        </w:numPr>
        <w:ind w:hanging="0" w:start="0"/>
        <w:rPr>
          <w:sz w:val="18"/>
        </w:rPr>
      </w:pPr>
      <w:r>
        <w:rPr>
          <w:b/>
          <w:i/>
          <w:sz w:val="18"/>
        </w:rPr>
        <w:t xml:space="preserve">Additional Representation(s).  </w:t>
      </w:r>
      <w:r>
        <w:rPr>
          <w:sz w:val="18"/>
        </w:rPr>
        <w:t>None.</w:t>
      </w:r>
    </w:p>
    <w:p>
      <w:pPr>
        <w:pStyle w:val="ListAlpha1"/>
        <w:numPr>
          <w:ilvl w:val="0"/>
          <w:numId w:val="7"/>
        </w:numPr>
        <w:ind w:hanging="0" w:start="0"/>
        <w:rPr>
          <w:sz w:val="18"/>
        </w:rPr>
      </w:pPr>
      <w:r>
        <w:rPr>
          <w:b/>
          <w:i/>
          <w:sz w:val="18"/>
        </w:rPr>
        <w:t>Other Eligible Support and Other Posted Support.</w:t>
      </w:r>
      <w:r>
        <w:rPr>
          <w:sz w:val="18"/>
        </w:rPr>
        <w:t xml:space="preserve">  "</w:t>
      </w:r>
      <w:r>
        <w:rPr>
          <w:b/>
          <w:i/>
          <w:sz w:val="18"/>
        </w:rPr>
        <w:t>Value</w:t>
      </w:r>
      <w:r>
        <w:rPr>
          <w:sz w:val="18"/>
        </w:rPr>
        <w:t>" and "</w:t>
      </w:r>
      <w:r>
        <w:rPr>
          <w:b/>
          <w:i/>
          <w:sz w:val="18"/>
        </w:rPr>
        <w:t>Transfer</w:t>
      </w:r>
      <w:r>
        <w:rPr>
          <w:i/>
          <w:sz w:val="18"/>
        </w:rPr>
        <w:t xml:space="preserve">" </w:t>
      </w:r>
      <w:r>
        <w:rPr>
          <w:sz w:val="18"/>
        </w:rPr>
        <w:t>with respect to Other Eligible Support and Other Posted Support each means:  Not applicable.</w:t>
      </w:r>
    </w:p>
    <w:p>
      <w:pPr>
        <w:pStyle w:val="ListAlpha1"/>
        <w:numPr>
          <w:ilvl w:val="0"/>
          <w:numId w:val="7"/>
        </w:numPr>
        <w:ind w:hanging="0" w:start="0"/>
        <w:rPr>
          <w:b/>
          <w:i/>
          <w:i/>
          <w:sz w:val="18"/>
        </w:rPr>
      </w:pPr>
      <w:r>
        <w:rPr>
          <w:b/>
          <w:i/>
          <w:sz w:val="18"/>
        </w:rPr>
        <w:t>Demands and Notices</w:t>
      </w:r>
    </w:p>
    <w:p>
      <w:pPr>
        <w:pStyle w:val="BodyText"/>
        <w:rPr>
          <w:sz w:val="18"/>
        </w:rPr>
      </w:pPr>
      <w:r>
        <w:rPr>
          <w:sz w:val="18"/>
        </w:rPr>
        <w:t>All demands, specifications and notices to Party A under this Annex will be made to:</w:t>
      </w:r>
    </w:p>
    <w:p>
      <w:pPr>
        <w:pStyle w:val="Normal"/>
        <w:spacing w:before="0" w:after="0"/>
        <w:ind w:start="567" w:end="0"/>
        <w:rPr>
          <w:sz w:val="18"/>
        </w:rPr>
      </w:pPr>
      <w:r>
        <w:rPr>
          <w:sz w:val="18"/>
        </w:rPr>
        <w:t>Morgan Stanley Capital Services Inc.</w:t>
      </w:r>
    </w:p>
    <w:p>
      <w:pPr>
        <w:pStyle w:val="Normal"/>
        <w:spacing w:before="0" w:after="0"/>
        <w:ind w:start="567" w:end="0"/>
        <w:rPr>
          <w:sz w:val="18"/>
        </w:rPr>
      </w:pPr>
      <w:r>
        <w:rPr>
          <w:sz w:val="18"/>
        </w:rPr>
        <w:t>c/o Morgan Stanley &amp; Co. International Limited</w:t>
      </w:r>
    </w:p>
    <w:p>
      <w:pPr>
        <w:pStyle w:val="Normal"/>
        <w:spacing w:before="0" w:after="0"/>
        <w:ind w:start="567" w:end="0"/>
        <w:rPr>
          <w:sz w:val="18"/>
        </w:rPr>
      </w:pPr>
      <w:r>
        <w:rPr>
          <w:sz w:val="18"/>
        </w:rPr>
        <w:t>20 Cabot Square</w:t>
      </w:r>
    </w:p>
    <w:p>
      <w:pPr>
        <w:pStyle w:val="Normal"/>
        <w:spacing w:before="0" w:after="0"/>
        <w:ind w:start="567" w:end="0"/>
        <w:rPr>
          <w:sz w:val="18"/>
        </w:rPr>
      </w:pPr>
      <w:r>
        <w:rPr>
          <w:sz w:val="18"/>
        </w:rPr>
        <w:t>Canary Wharf</w:t>
      </w:r>
    </w:p>
    <w:p>
      <w:pPr>
        <w:pStyle w:val="Normal"/>
        <w:spacing w:before="0" w:after="0"/>
        <w:ind w:start="567" w:end="0"/>
        <w:rPr>
          <w:sz w:val="18"/>
        </w:rPr>
      </w:pPr>
      <w:r>
        <w:rPr>
          <w:sz w:val="18"/>
        </w:rPr>
        <w:t>London E14 4QW</w:t>
      </w:r>
    </w:p>
    <w:p>
      <w:pPr>
        <w:pStyle w:val="Normal"/>
        <w:spacing w:before="0" w:after="0"/>
        <w:ind w:start="567" w:end="0"/>
        <w:rPr>
          <w:sz w:val="18"/>
        </w:rPr>
      </w:pPr>
      <w:r>
        <w:rPr>
          <w:sz w:val="18"/>
        </w:rPr>
        <w:t>Attn: Collateral Manager</w:t>
      </w:r>
    </w:p>
    <w:p>
      <w:pPr>
        <w:pStyle w:val="Normal"/>
        <w:spacing w:before="0" w:after="0"/>
        <w:ind w:start="567" w:end="0"/>
        <w:rPr>
          <w:sz w:val="18"/>
        </w:rPr>
      </w:pPr>
      <w:r>
        <w:rPr>
          <w:sz w:val="18"/>
        </w:rPr>
        <w:t>Telephone No.:</w:t>
        <w:tab/>
        <w:t>+44 20 7677 2234</w:t>
      </w:r>
    </w:p>
    <w:p>
      <w:pPr>
        <w:pStyle w:val="Normal"/>
        <w:spacing w:before="0" w:after="0"/>
        <w:ind w:start="567" w:end="0"/>
        <w:rPr>
          <w:sz w:val="18"/>
        </w:rPr>
      </w:pPr>
      <w:r>
        <w:rPr>
          <w:sz w:val="18"/>
        </w:rPr>
        <w:t>Facsimile No.:</w:t>
        <w:tab/>
        <w:t>+44 20 7677 7986</w:t>
      </w:r>
    </w:p>
    <w:p>
      <w:pPr>
        <w:pStyle w:val="Normal"/>
        <w:ind w:start="567" w:end="0"/>
        <w:rPr>
          <w:sz w:val="18"/>
        </w:rPr>
      </w:pPr>
      <w:r>
        <w:rPr>
          <w:sz w:val="18"/>
        </w:rPr>
        <w:t>Email: lndpgcoll@morganstanley.com</w:t>
      </w:r>
    </w:p>
    <w:p>
      <w:pPr>
        <w:pStyle w:val="Normal"/>
        <w:ind w:start="567" w:end="0"/>
        <w:rPr>
          <w:sz w:val="18"/>
        </w:rPr>
      </w:pPr>
      <w:r>
        <w:rPr>
          <w:sz w:val="18"/>
        </w:rPr>
        <w:t>with a copy to:</w:t>
      </w:r>
    </w:p>
    <w:p>
      <w:pPr>
        <w:pStyle w:val="Normal"/>
        <w:spacing w:before="0" w:after="0"/>
        <w:ind w:start="567" w:end="0"/>
        <w:rPr>
          <w:sz w:val="18"/>
        </w:rPr>
      </w:pPr>
      <w:r>
        <w:rPr>
          <w:sz w:val="18"/>
        </w:rPr>
        <w:t>Morgan Stanley Capital Services Inc.</w:t>
        <w:tab/>
      </w:r>
    </w:p>
    <w:p>
      <w:pPr>
        <w:pStyle w:val="Normal"/>
        <w:spacing w:before="0" w:after="0"/>
        <w:ind w:start="567" w:end="0"/>
        <w:rPr>
          <w:sz w:val="18"/>
        </w:rPr>
      </w:pPr>
      <w:r>
        <w:rPr>
          <w:sz w:val="18"/>
        </w:rPr>
        <w:t>1585 Broadway</w:t>
        <w:tab/>
        <w:tab/>
        <w:tab/>
        <w:tab/>
      </w:r>
    </w:p>
    <w:p>
      <w:pPr>
        <w:pStyle w:val="Normal"/>
        <w:spacing w:before="0" w:after="0"/>
        <w:ind w:start="567" w:end="0"/>
        <w:rPr>
          <w:sz w:val="18"/>
        </w:rPr>
      </w:pPr>
      <w:r>
        <w:rPr>
          <w:sz w:val="18"/>
        </w:rPr>
        <w:t>3rd Fl. - DPG Controllers</w:t>
        <w:tab/>
        <w:tab/>
        <w:tab/>
      </w:r>
    </w:p>
    <w:p>
      <w:pPr>
        <w:pStyle w:val="Normal"/>
        <w:spacing w:before="0" w:after="0"/>
        <w:ind w:start="567" w:end="0"/>
        <w:rPr>
          <w:sz w:val="18"/>
        </w:rPr>
      </w:pPr>
      <w:r>
        <w:rPr>
          <w:sz w:val="18"/>
        </w:rPr>
        <w:t>New York, NY 10036</w:t>
        <w:tab/>
        <w:tab/>
        <w:tab/>
      </w:r>
    </w:p>
    <w:p>
      <w:pPr>
        <w:pStyle w:val="Normal"/>
        <w:spacing w:before="0" w:after="0"/>
        <w:ind w:start="567" w:end="0"/>
        <w:rPr>
          <w:sz w:val="18"/>
        </w:rPr>
      </w:pPr>
      <w:r>
        <w:rPr>
          <w:sz w:val="18"/>
        </w:rPr>
        <w:t>Attn: DPG Collateral Manager</w:t>
        <w:tab/>
        <w:tab/>
      </w:r>
    </w:p>
    <w:p>
      <w:pPr>
        <w:pStyle w:val="Normal"/>
        <w:spacing w:before="0" w:after="0"/>
        <w:ind w:start="567" w:end="0"/>
        <w:rPr>
          <w:sz w:val="18"/>
        </w:rPr>
      </w:pPr>
      <w:r>
        <w:rPr>
          <w:sz w:val="18"/>
        </w:rPr>
        <w:t>Telephone No.: (212) 761 2628</w:t>
        <w:tab/>
        <w:tab/>
      </w:r>
    </w:p>
    <w:p>
      <w:pPr>
        <w:pStyle w:val="Normal"/>
        <w:spacing w:before="0" w:after="0"/>
        <w:ind w:start="567" w:end="0"/>
        <w:rPr>
          <w:sz w:val="18"/>
        </w:rPr>
      </w:pPr>
      <w:r>
        <w:rPr>
          <w:sz w:val="18"/>
        </w:rPr>
        <w:t>Facsimile No.:  (212) 761 0580</w:t>
        <w:tab/>
        <w:tab/>
      </w:r>
    </w:p>
    <w:p>
      <w:pPr>
        <w:pStyle w:val="Normal"/>
        <w:ind w:start="567" w:end="0"/>
        <w:rPr>
          <w:sz w:val="18"/>
        </w:rPr>
      </w:pPr>
      <w:r>
        <w:rPr>
          <w:sz w:val="18"/>
        </w:rPr>
        <w:t>Email: nydpgcoll@morganstanley.com</w:t>
        <w:tab/>
      </w:r>
    </w:p>
    <w:p>
      <w:pPr>
        <w:pStyle w:val="BodyText"/>
        <w:rPr>
          <w:sz w:val="18"/>
        </w:rPr>
      </w:pPr>
      <w:r>
        <w:rPr>
          <w:sz w:val="18"/>
        </w:rPr>
        <w:t>and all demands, specifications and notices to Party B under this Annex will be made to:</w:t>
      </w:r>
    </w:p>
    <w:p>
      <w:pPr>
        <w:pStyle w:val="BodyText"/>
        <w:spacing w:before="0" w:after="0"/>
        <w:rPr>
          <w:b/>
          <w:sz w:val="18"/>
        </w:rPr>
      </w:pPr>
      <w:r>
        <w:rPr>
          <w:b/>
          <w:sz w:val="18"/>
        </w:rPr>
        <w:t>[PLEASE SPECIFY]</w:t>
      </w:r>
    </w:p>
    <w:p>
      <w:pPr>
        <w:pStyle w:val="BodyText"/>
        <w:spacing w:before="0" w:after="0"/>
        <w:rPr>
          <w:sz w:val="18"/>
        </w:rPr>
      </w:pPr>
      <w:r>
        <w:rPr>
          <w:sz w:val="18"/>
        </w:rPr>
        <w:t>_________________________________________</w:t>
      </w:r>
    </w:p>
    <w:p>
      <w:pPr>
        <w:pStyle w:val="BodyText"/>
        <w:spacing w:before="0" w:after="0"/>
        <w:rPr>
          <w:sz w:val="18"/>
        </w:rPr>
      </w:pPr>
      <w:r>
        <w:rPr>
          <w:sz w:val="18"/>
        </w:rPr>
        <w:t>_________________________________________</w:t>
      </w:r>
    </w:p>
    <w:p>
      <w:pPr>
        <w:pStyle w:val="BodyText"/>
        <w:spacing w:before="0" w:after="0"/>
        <w:rPr>
          <w:sz w:val="18"/>
        </w:rPr>
      </w:pPr>
      <w:r>
        <w:rPr>
          <w:sz w:val="18"/>
        </w:rPr>
        <w:t>_________________________________________</w:t>
      </w:r>
    </w:p>
    <w:p>
      <w:pPr>
        <w:pStyle w:val="BodyText"/>
        <w:rPr>
          <w:sz w:val="18"/>
        </w:rPr>
      </w:pPr>
      <w:r>
        <w:rPr>
          <w:sz w:val="18"/>
        </w:rPr>
        <w:t>_________________________________________</w:t>
      </w:r>
    </w:p>
    <w:p>
      <w:pPr>
        <w:pStyle w:val="Normal"/>
        <w:rPr/>
      </w:pPr>
      <w:r>
        <w:rPr>
          <w:i/>
          <w:sz w:val="18"/>
        </w:rPr>
        <w:t>provided</w:t>
      </w:r>
      <w:r>
        <w:rPr>
          <w:sz w:val="18"/>
        </w:rPr>
        <w:t xml:space="preserve"> that any demand, specification or notice may be made by telephone ("</w:t>
      </w:r>
      <w:r>
        <w:rPr>
          <w:b/>
          <w:sz w:val="18"/>
        </w:rPr>
        <w:t>Telephone Notice</w:t>
      </w:r>
      <w:r>
        <w:rPr>
          <w:sz w:val="18"/>
        </w:rPr>
        <w:t>") if such Telephone Notice is confirmed by a subsequent written instruction (which may be delivered via facsimile or email) by the close of business on the same day that such Telephone Notice is given.</w:t>
      </w:r>
    </w:p>
    <w:p>
      <w:pPr>
        <w:pStyle w:val="ListAlpha1"/>
        <w:keepNext w:val="true"/>
        <w:keepLines/>
        <w:numPr>
          <w:ilvl w:val="0"/>
          <w:numId w:val="7"/>
        </w:numPr>
        <w:ind w:hanging="0" w:start="0"/>
        <w:rPr>
          <w:b/>
          <w:i/>
          <w:i/>
          <w:sz w:val="18"/>
        </w:rPr>
      </w:pPr>
      <w:r>
        <w:rPr>
          <w:b/>
          <w:i/>
          <w:sz w:val="18"/>
        </w:rPr>
        <w:t>Addresses for Transfers.</w:t>
      </w:r>
    </w:p>
    <w:p>
      <w:pPr>
        <w:pStyle w:val="BodyText"/>
        <w:keepNext w:val="true"/>
        <w:keepLines/>
        <w:rPr>
          <w:sz w:val="18"/>
        </w:rPr>
      </w:pPr>
      <w:r>
        <w:rPr>
          <w:sz w:val="18"/>
        </w:rPr>
        <w:t>Party A:</w:t>
      </w:r>
    </w:p>
    <w:p>
      <w:pPr>
        <w:pStyle w:val="BodyText"/>
        <w:keepNext w:val="true"/>
        <w:keepLines/>
        <w:tabs>
          <w:tab w:val="clear" w:pos="720"/>
          <w:tab w:val="right" w:pos="-1701" w:leader="none"/>
          <w:tab w:val="left" w:pos="2835" w:leader="none"/>
        </w:tabs>
        <w:spacing w:before="0" w:after="0"/>
        <w:rPr>
          <w:sz w:val="18"/>
        </w:rPr>
      </w:pPr>
      <w:r>
        <w:rPr>
          <w:sz w:val="18"/>
        </w:rPr>
        <w:t>USD Cash:</w:t>
        <w:tab/>
        <w:t>CITIBANK, New York (CITIUS33)</w:t>
      </w:r>
    </w:p>
    <w:p>
      <w:pPr>
        <w:pStyle w:val="BodyText"/>
        <w:keepNext w:val="true"/>
        <w:keepLines/>
        <w:tabs>
          <w:tab w:val="clear" w:pos="720"/>
          <w:tab w:val="right" w:pos="-1701" w:leader="none"/>
          <w:tab w:val="left" w:pos="2835" w:leader="none"/>
        </w:tabs>
        <w:spacing w:before="0" w:after="0"/>
        <w:rPr>
          <w:sz w:val="18"/>
        </w:rPr>
      </w:pPr>
      <w:r>
        <w:rPr>
          <w:sz w:val="18"/>
        </w:rPr>
        <w:t xml:space="preserve">ABA No.:  </w:t>
        <w:tab/>
        <w:t>021 000 089</w:t>
      </w:r>
    </w:p>
    <w:p>
      <w:pPr>
        <w:pStyle w:val="BodyText"/>
        <w:tabs>
          <w:tab w:val="clear" w:pos="720"/>
          <w:tab w:val="right" w:pos="-1701" w:leader="none"/>
          <w:tab w:val="left" w:pos="2835" w:leader="none"/>
        </w:tabs>
        <w:spacing w:before="0" w:after="0"/>
        <w:ind w:hanging="2205" w:start="2829" w:end="0"/>
        <w:rPr>
          <w:sz w:val="18"/>
        </w:rPr>
      </w:pPr>
      <w:r>
        <w:rPr>
          <w:sz w:val="18"/>
        </w:rPr>
        <w:t>Account No.:</w:t>
        <w:tab/>
        <w:tab/>
        <w:t>4072 - 4601 in the name of Morgan Stanley Capital Services Inc. (MSCSUS33)</w:t>
      </w:r>
    </w:p>
    <w:p>
      <w:pPr>
        <w:pStyle w:val="BodyText"/>
        <w:tabs>
          <w:tab w:val="clear" w:pos="720"/>
          <w:tab w:val="right" w:pos="-1701" w:leader="none"/>
          <w:tab w:val="left" w:pos="2835" w:leader="none"/>
        </w:tabs>
        <w:spacing w:before="0" w:after="0"/>
        <w:rPr>
          <w:sz w:val="18"/>
        </w:rPr>
      </w:pPr>
      <w:r>
        <w:rPr>
          <w:sz w:val="18"/>
        </w:rPr>
        <w:t>Treasury Securities</w:t>
      </w:r>
    </w:p>
    <w:p>
      <w:pPr>
        <w:pStyle w:val="BodyText"/>
        <w:tabs>
          <w:tab w:val="clear" w:pos="720"/>
          <w:tab w:val="right" w:pos="-1701" w:leader="none"/>
          <w:tab w:val="left" w:pos="2835" w:leader="none"/>
        </w:tabs>
        <w:spacing w:before="0" w:after="0"/>
        <w:ind w:hanging="2205" w:start="2829" w:end="0"/>
        <w:rPr>
          <w:sz w:val="18"/>
        </w:rPr>
      </w:pPr>
      <w:r>
        <w:rPr>
          <w:sz w:val="18"/>
        </w:rPr>
        <w:t>and Agency Notes:</w:t>
        <w:tab/>
        <w:t>Bank of New York, New York/Morgan Stanley &amp; Co. Incorporated</w:t>
      </w:r>
    </w:p>
    <w:p>
      <w:pPr>
        <w:pStyle w:val="BodyText"/>
        <w:tabs>
          <w:tab w:val="clear" w:pos="720"/>
          <w:tab w:val="right" w:pos="-1701" w:leader="none"/>
          <w:tab w:val="left" w:pos="2835" w:leader="none"/>
        </w:tabs>
        <w:rPr>
          <w:sz w:val="18"/>
        </w:rPr>
      </w:pPr>
      <w:r>
        <w:rPr>
          <w:sz w:val="18"/>
        </w:rPr>
        <w:t>ABA No.:</w:t>
        <w:tab/>
        <w:t>021-000-018</w:t>
      </w:r>
    </w:p>
    <w:p>
      <w:pPr>
        <w:pStyle w:val="BodyText"/>
        <w:tabs>
          <w:tab w:val="clear" w:pos="720"/>
          <w:tab w:val="left" w:pos="2835" w:leader="none"/>
        </w:tabs>
        <w:spacing w:before="0" w:after="0"/>
        <w:ind w:hanging="2211" w:start="2835" w:end="0"/>
        <w:jc w:val="start"/>
        <w:rPr>
          <w:sz w:val="18"/>
        </w:rPr>
      </w:pPr>
      <w:r>
        <w:rPr>
          <w:sz w:val="18"/>
        </w:rPr>
      </w:r>
    </w:p>
    <w:p>
      <w:pPr>
        <w:pStyle w:val="BodyText"/>
        <w:tabs>
          <w:tab w:val="clear" w:pos="720"/>
          <w:tab w:val="left" w:pos="2835" w:leader="none"/>
        </w:tabs>
        <w:ind w:hanging="2211" w:start="2835" w:end="0"/>
        <w:jc w:val="start"/>
        <w:rPr/>
      </w:pPr>
      <w:r>
        <w:rPr>
          <w:sz w:val="18"/>
        </w:rPr>
        <w:t>Party B:</w:t>
        <w:tab/>
        <w:t>[</w:t>
      </w:r>
      <w:r>
        <w:rPr>
          <w:b/>
          <w:sz w:val="18"/>
        </w:rPr>
        <w:t>PLEASE SPECIFY</w:t>
      </w:r>
      <w:r>
        <w:rPr>
          <w:sz w:val="18"/>
        </w:rPr>
        <w:t>]</w:t>
      </w:r>
    </w:p>
    <w:p>
      <w:pPr>
        <w:pStyle w:val="BodyText"/>
        <w:spacing w:before="0" w:after="0"/>
        <w:rPr>
          <w:sz w:val="18"/>
        </w:rPr>
      </w:pPr>
      <w:r>
        <w:rPr>
          <w:sz w:val="18"/>
        </w:rPr>
        <w:t>______________________________________________________________________</w:t>
      </w:r>
    </w:p>
    <w:p>
      <w:pPr>
        <w:pStyle w:val="BodyText"/>
        <w:spacing w:before="0" w:after="0"/>
        <w:rPr>
          <w:sz w:val="18"/>
        </w:rPr>
      </w:pPr>
      <w:r>
        <w:rPr>
          <w:sz w:val="18"/>
        </w:rPr>
        <w:t>______________________________________________________________________</w:t>
      </w:r>
    </w:p>
    <w:p>
      <w:pPr>
        <w:pStyle w:val="BodyText"/>
        <w:rPr>
          <w:sz w:val="18"/>
        </w:rPr>
      </w:pPr>
      <w:r>
        <w:rPr>
          <w:sz w:val="18"/>
        </w:rPr>
        <w:t>______________________________________________________________________</w:t>
      </w:r>
    </w:p>
    <w:p>
      <w:pPr>
        <w:pStyle w:val="ListAlpha1"/>
        <w:numPr>
          <w:ilvl w:val="0"/>
          <w:numId w:val="7"/>
        </w:numPr>
        <w:ind w:hanging="0" w:start="0"/>
        <w:rPr>
          <w:b/>
          <w:i/>
          <w:i/>
          <w:sz w:val="18"/>
        </w:rPr>
      </w:pPr>
      <w:r>
        <w:rPr>
          <w:b/>
          <w:i/>
          <w:sz w:val="18"/>
        </w:rPr>
        <w:t>Other Provisions.</w:t>
      </w:r>
    </w:p>
    <w:p>
      <w:pPr>
        <w:pStyle w:val="ListRoman2"/>
        <w:numPr>
          <w:ilvl w:val="1"/>
          <w:numId w:val="17"/>
        </w:numPr>
        <w:ind w:hanging="0" w:start="0"/>
        <w:rPr>
          <w:sz w:val="18"/>
        </w:rPr>
      </w:pPr>
      <w:r>
        <w:rPr>
          <w:sz w:val="18"/>
        </w:rPr>
        <w:t>Paragraph 4(b) of the Annex is replaced by the following:</w:t>
      </w:r>
    </w:p>
    <w:p>
      <w:pPr>
        <w:pStyle w:val="BodyText2"/>
        <w:keepNext w:val="true"/>
        <w:keepLines/>
        <w:ind w:start="1418" w:end="0"/>
        <w:rPr/>
      </w:pPr>
      <w:r>
        <w:rPr>
          <w:sz w:val="18"/>
        </w:rPr>
        <w:t xml:space="preserve">"(b) </w:t>
      </w:r>
      <w:r>
        <w:rPr>
          <w:b/>
          <w:sz w:val="18"/>
        </w:rPr>
        <w:t>Transfer Timing</w:t>
      </w:r>
      <w:r>
        <w:rPr>
          <w:sz w:val="18"/>
        </w:rPr>
        <w:t>.  Subject to Paragraph 4(a) and 5 and unless otherwise specified; if a demand for the Transfer of Eligible Credit Support or Posted Credit Support is made by the Notification Time, then the relevant Transfer will be made not later than the close of business on the same Local Business Day; if a demand is made after the Notification Time then the relevant Transfer will be made not later than the close of business on the following Local Business Day."</w:t>
      </w:r>
    </w:p>
    <w:p>
      <w:pPr>
        <w:pStyle w:val="ListRoman2"/>
        <w:numPr>
          <w:ilvl w:val="1"/>
          <w:numId w:val="5"/>
        </w:numPr>
        <w:ind w:hanging="0" w:start="0"/>
        <w:rPr>
          <w:sz w:val="18"/>
        </w:rPr>
      </w:pPr>
      <w:r>
        <w:rPr>
          <w:sz w:val="18"/>
        </w:rPr>
        <w:t>Notwithstanding any other provision in this Agreement to the contrary, no full or partial failure to exercise and no delay in exercising, on the part of Party A or Party B, any right, remedy, power or privilege permitted hereunder shall operate in any way as a waiver thereof by such party, including without limitation any failure to exercise or any delay in exercising to any or to the full extent of such party's rights with respect to transfer timing pursuant to Paragraph 4(b), as replaced by Paragraph 13(m)(i), regardless of the frequency of such failure or delay.</w:t>
      </w:r>
    </w:p>
    <w:p>
      <w:pPr>
        <w:pStyle w:val="ListRoman2"/>
        <w:numPr>
          <w:ilvl w:val="1"/>
          <w:numId w:val="5"/>
        </w:numPr>
        <w:ind w:hanging="0" w:start="0"/>
        <w:rPr>
          <w:sz w:val="18"/>
        </w:rPr>
      </w:pPr>
      <w:r>
        <w:rPr>
          <w:sz w:val="18"/>
        </w:rPr>
        <w:t xml:space="preserve">In all cases, in order to facilitate calculation of the Delivery Amount and the Return Amount for a particular Valuation Date in accordance with Paragraph 3 of this Annex: </w:t>
      </w:r>
    </w:p>
    <w:p>
      <w:pPr>
        <w:pStyle w:val="LISTALPHACAPS3"/>
        <w:numPr>
          <w:ilvl w:val="2"/>
          <w:numId w:val="18"/>
        </w:numPr>
        <w:ind w:hanging="0" w:start="0"/>
        <w:rPr>
          <w:sz w:val="18"/>
        </w:rPr>
      </w:pPr>
      <w:r>
        <w:rPr>
          <w:sz w:val="18"/>
        </w:rPr>
        <w:t xml:space="preserve">Eligible Collateral; and </w:t>
      </w:r>
    </w:p>
    <w:p>
      <w:pPr>
        <w:pStyle w:val="LISTALPHACAPS3"/>
        <w:numPr>
          <w:ilvl w:val="2"/>
          <w:numId w:val="4"/>
        </w:numPr>
        <w:ind w:hanging="0" w:start="0"/>
        <w:rPr>
          <w:sz w:val="18"/>
        </w:rPr>
      </w:pPr>
      <w:r>
        <w:rPr>
          <w:sz w:val="18"/>
        </w:rPr>
        <w:t>Exposure; and</w:t>
      </w:r>
    </w:p>
    <w:p>
      <w:pPr>
        <w:pStyle w:val="LISTALPHACAPS3"/>
        <w:numPr>
          <w:ilvl w:val="2"/>
          <w:numId w:val="4"/>
        </w:numPr>
        <w:ind w:hanging="0" w:start="0"/>
        <w:rPr>
          <w:sz w:val="18"/>
        </w:rPr>
      </w:pPr>
      <w:r>
        <w:rPr>
          <w:sz w:val="18"/>
        </w:rPr>
        <w:t>Posted Collateral</w:t>
      </w:r>
    </w:p>
    <w:p>
      <w:pPr>
        <w:pStyle w:val="BodyText2"/>
        <w:rPr>
          <w:sz w:val="18"/>
        </w:rPr>
      </w:pPr>
      <w:r>
        <w:rPr>
          <w:sz w:val="18"/>
        </w:rPr>
        <w:t>shall each be expressed in US Dollars.  If any of these items are expressed in a currency other than US Dollars, then they shall be converted into US Dollar amounts at the spot exchange rate determined by the Valuation Agent on that Valuation Date.</w:t>
      </w:r>
    </w:p>
    <w:p>
      <w:pPr>
        <w:pStyle w:val="ListRoman2"/>
        <w:numPr>
          <w:ilvl w:val="1"/>
          <w:numId w:val="5"/>
        </w:numPr>
        <w:ind w:hanging="0" w:start="0"/>
        <w:rPr>
          <w:sz w:val="18"/>
        </w:rPr>
      </w:pPr>
      <w:r>
        <w:rPr>
          <w:sz w:val="18"/>
        </w:rPr>
        <w:t xml:space="preserve">References herein to "Appendix A" are to Appendix A dated May 2001 attached hereto. </w:t>
      </w:r>
    </w:p>
    <w:p>
      <w:pPr>
        <w:pStyle w:val="ListRoman2"/>
        <w:numPr>
          <w:ilvl w:val="1"/>
          <w:numId w:val="5"/>
        </w:numPr>
        <w:ind w:hanging="0" w:start="0"/>
        <w:rPr>
          <w:sz w:val="18"/>
        </w:rPr>
      </w:pPr>
      <w:r>
        <w:rPr>
          <w:sz w:val="18"/>
        </w:rPr>
        <w:t>This Annex will be governed by and construed in accordance with the laws of the State of New York without giving effect to choice of law doctrine.</w:t>
      </w:r>
    </w:p>
    <w:p>
      <w:pPr>
        <w:pStyle w:val="Normal"/>
        <w:keepNext w:val="true"/>
        <w:keepLines/>
        <w:numPr>
          <w:ilvl w:val="0"/>
          <w:numId w:val="3"/>
        </w:numPr>
        <w:rPr>
          <w:sz w:val="18"/>
        </w:rPr>
      </w:pPr>
      <w:r>
        <w:rPr>
          <w:b/>
          <w:i/>
          <w:sz w:val="18"/>
        </w:rPr>
        <w:t>Additional Definitions</w:t>
      </w:r>
    </w:p>
    <w:p>
      <w:pPr>
        <w:pStyle w:val="ListRoman2"/>
        <w:numPr>
          <w:ilvl w:val="1"/>
          <w:numId w:val="19"/>
        </w:numPr>
        <w:ind w:hanging="0" w:start="0"/>
        <w:rPr>
          <w:sz w:val="18"/>
        </w:rPr>
      </w:pPr>
      <w:r>
        <w:rPr>
          <w:sz w:val="18"/>
        </w:rPr>
        <w:t>"</w:t>
      </w:r>
      <w:r>
        <w:rPr>
          <w:b/>
          <w:i/>
          <w:sz w:val="18"/>
        </w:rPr>
        <w:t>Agency Notes</w:t>
      </w:r>
      <w:r>
        <w:rPr>
          <w:sz w:val="18"/>
        </w:rPr>
        <w:t>" means U.S. Dollar-denominated fixed rate, non-amortising, non-mortgage-backed, senior debt securities of fixed maturity, rated Aaa by Moody's and AAA by S&amp;P and issued by any of the Federal Home Loan Banks (including their consolidated obligations issued through the Office of Finance of the Federal Home Loan Bank System), the Federal National Mortgage Association, the Federal Home Loan Mortgage Corporation or the Federal Farm Credit Bank.</w:t>
      </w:r>
    </w:p>
    <w:p>
      <w:pPr>
        <w:pStyle w:val="ListRoman2"/>
        <w:numPr>
          <w:ilvl w:val="1"/>
          <w:numId w:val="5"/>
        </w:numPr>
        <w:ind w:hanging="0" w:start="0"/>
        <w:rPr>
          <w:sz w:val="18"/>
        </w:rPr>
      </w:pPr>
      <w:r>
        <w:rPr>
          <w:sz w:val="18"/>
        </w:rPr>
        <w:t>"</w:t>
      </w:r>
      <w:r>
        <w:rPr>
          <w:b/>
          <w:i/>
          <w:sz w:val="18"/>
        </w:rPr>
        <w:t>Transaction Independent Amount</w:t>
      </w:r>
      <w:r>
        <w:rPr>
          <w:sz w:val="18"/>
        </w:rPr>
        <w:t>" with respect to a party in respect of a Transaction means the amount agreed as the Transaction Independent Amount for that party for the Transaction in question whether in a Confirmation or otherwise.</w:t>
      </w:r>
    </w:p>
    <w:p>
      <w:pPr>
        <w:pStyle w:val="ListRoman2"/>
        <w:numPr>
          <w:ilvl w:val="1"/>
          <w:numId w:val="5"/>
        </w:numPr>
        <w:ind w:hanging="0" w:start="0"/>
        <w:rPr>
          <w:sz w:val="18"/>
        </w:rPr>
      </w:pPr>
      <w:r>
        <w:rPr>
          <w:sz w:val="18"/>
        </w:rPr>
        <w:t>"</w:t>
      </w:r>
      <w:r>
        <w:rPr>
          <w:b/>
          <w:i/>
          <w:sz w:val="18"/>
        </w:rPr>
        <w:t>Treasury Securities</w:t>
      </w:r>
      <w:r>
        <w:rPr>
          <w:sz w:val="18"/>
        </w:rPr>
        <w:t>" means U.S. Dollar-denominated senior debt securities of the United States of America issued by the U.S. Treasury Department and backed by the full faith and credit of the United States of America.</w:t>
      </w:r>
    </w:p>
    <w:p>
      <w:pPr>
        <w:pStyle w:val="Normal"/>
        <w:keepNext w:val="true"/>
        <w:keepLines/>
        <w:tabs>
          <w:tab w:val="clear" w:pos="720"/>
          <w:tab w:val="left" w:pos="3969" w:leader="none"/>
        </w:tabs>
        <w:spacing w:before="0" w:after="0"/>
        <w:rPr>
          <w:sz w:val="18"/>
        </w:rPr>
      </w:pPr>
      <w:r>
        <w:rPr>
          <w:sz w:val="18"/>
        </w:rPr>
        <w:t>....................................…………</w:t>
        <w:tab/>
        <w:tab/>
        <w:t>.........................................…………</w:t>
      </w:r>
    </w:p>
    <w:p>
      <w:pPr>
        <w:pStyle w:val="Normal"/>
        <w:keepNext w:val="true"/>
        <w:keepLines/>
        <w:tabs>
          <w:tab w:val="clear" w:pos="720"/>
          <w:tab w:val="left" w:pos="3969" w:leader="none"/>
        </w:tabs>
        <w:spacing w:before="0" w:after="0"/>
        <w:rPr/>
      </w:pPr>
      <w:r>
        <w:rPr>
          <w:b/>
          <w:sz w:val="18"/>
        </w:rPr>
        <w:t>Morgan Stanley Capital Services Inc.</w:t>
      </w:r>
      <w:r>
        <w:rPr>
          <w:sz w:val="18"/>
        </w:rPr>
        <w:tab/>
        <w:tab/>
      </w:r>
      <w:r>
        <w:rPr>
          <w:b/>
          <w:sz w:val="18"/>
        </w:rPr>
        <w:t>Enron North America Corp.</w:t>
      </w:r>
    </w:p>
    <w:p>
      <w:pPr>
        <w:pStyle w:val="Normal"/>
        <w:tabs>
          <w:tab w:val="clear" w:pos="720"/>
          <w:tab w:val="left" w:pos="3969" w:leader="none"/>
        </w:tabs>
        <w:spacing w:before="0" w:after="0"/>
        <w:rPr>
          <w:b/>
          <w:sz w:val="18"/>
        </w:rPr>
      </w:pPr>
      <w:r>
        <w:rPr>
          <w:b/>
          <w:sz w:val="18"/>
        </w:rPr>
      </w:r>
    </w:p>
    <w:p>
      <w:pPr>
        <w:pStyle w:val="Normal"/>
        <w:tabs>
          <w:tab w:val="clear" w:pos="720"/>
          <w:tab w:val="left" w:pos="3969" w:leader="none"/>
        </w:tabs>
        <w:spacing w:before="0" w:after="0"/>
        <w:rPr>
          <w:b/>
          <w:sz w:val="18"/>
        </w:rPr>
      </w:pPr>
      <w:r>
        <w:rPr>
          <w:b/>
          <w:sz w:val="18"/>
        </w:rPr>
      </w:r>
    </w:p>
    <w:p>
      <w:pPr>
        <w:pStyle w:val="Normal"/>
        <w:tabs>
          <w:tab w:val="clear" w:pos="720"/>
          <w:tab w:val="left" w:pos="3969" w:leader="none"/>
        </w:tabs>
        <w:spacing w:before="0" w:after="0"/>
        <w:rPr>
          <w:sz w:val="18"/>
        </w:rPr>
      </w:pPr>
      <w:r>
        <w:rPr>
          <w:sz w:val="18"/>
        </w:rPr>
        <w:t>........................……..</w:t>
        <w:tab/>
        <w:tab/>
        <w:t>........................…….</w:t>
      </w:r>
    </w:p>
    <w:p>
      <w:pPr>
        <w:pStyle w:val="Normal"/>
        <w:tabs>
          <w:tab w:val="clear" w:pos="720"/>
          <w:tab w:val="left" w:pos="3969" w:leader="none"/>
        </w:tabs>
        <w:rPr>
          <w:sz w:val="18"/>
        </w:rPr>
      </w:pPr>
      <w:r>
        <w:rPr>
          <w:sz w:val="18"/>
        </w:rPr>
        <w:t>Date</w:t>
        <w:tab/>
        <w:tab/>
        <w:t>Date</w:t>
      </w:r>
    </w:p>
    <w:p>
      <w:pPr>
        <w:pStyle w:val="Normal"/>
        <w:tabs>
          <w:tab w:val="clear" w:pos="720"/>
          <w:tab w:val="left" w:pos="3969" w:leader="none"/>
        </w:tabs>
        <w:rPr>
          <w:sz w:val="18"/>
        </w:rPr>
      </w:pPr>
      <w:r>
        <w:rPr>
          <w:sz w:val="18"/>
        </w:rPr>
      </w:r>
    </w:p>
    <w:p>
      <w:pPr>
        <w:pStyle w:val="BodyText2"/>
        <w:jc w:val="center"/>
        <w:rPr>
          <w:b/>
          <w:sz w:val="18"/>
        </w:rPr>
      </w:pPr>
      <w:r>
        <w:rPr>
          <w:b/>
          <w:sz w:val="18"/>
        </w:rPr>
        <w:t>APPENDIX A</w:t>
        <w:br/>
      </w:r>
    </w:p>
    <w:p>
      <w:pPr>
        <w:pStyle w:val="ListArabic1"/>
        <w:numPr>
          <w:ilvl w:val="0"/>
          <w:numId w:val="0"/>
        </w:numPr>
        <w:ind w:hanging="0" w:start="720" w:end="0"/>
        <w:rPr/>
      </w:pPr>
      <w:r>
        <w:rPr>
          <w:b/>
          <w:sz w:val="18"/>
        </w:rPr>
        <w:t>Table 1:  Interest Rate</w:t>
      </w:r>
      <w:r>
        <w:rPr/>
        <w:t>.  For the purposes of Paragraph 13(h)(i), Table 1 referred to is the following table:</w:t>
      </w:r>
    </w:p>
    <w:tbl>
      <w:tblPr>
        <w:tblW w:w="8080" w:type="dxa"/>
        <w:jc w:val="start"/>
        <w:tblInd w:w="675" w:type="dxa"/>
        <w:tblLayout w:type="fixed"/>
        <w:tblCellMar>
          <w:top w:w="0" w:type="dxa"/>
          <w:start w:w="108" w:type="dxa"/>
          <w:bottom w:w="0" w:type="dxa"/>
          <w:end w:w="108" w:type="dxa"/>
        </w:tblCellMar>
      </w:tblPr>
      <w:tblGrid>
        <w:gridCol w:w="2127"/>
        <w:gridCol w:w="5953"/>
      </w:tblGrid>
      <w:tr>
        <w:trPr/>
        <w:tc>
          <w:tcPr>
            <w:tcW w:w="2127" w:type="dxa"/>
            <w:tcBorders>
              <w:top w:val="single" w:sz="4" w:space="0" w:color="000000"/>
              <w:start w:val="single" w:sz="4" w:space="0" w:color="000000"/>
              <w:bottom w:val="single" w:sz="4" w:space="0" w:color="000000"/>
              <w:end w:val="single" w:sz="4" w:space="0" w:color="000000"/>
            </w:tcBorders>
          </w:tcPr>
          <w:p>
            <w:pPr>
              <w:pStyle w:val="BodyText2"/>
              <w:spacing w:before="0" w:after="200"/>
              <w:ind w:start="0" w:end="0"/>
              <w:rPr>
                <w:b/>
                <w:i/>
                <w:i/>
                <w:sz w:val="18"/>
              </w:rPr>
            </w:pPr>
            <w:r>
              <w:rPr>
                <w:b/>
                <w:i/>
                <w:sz w:val="18"/>
              </w:rPr>
              <w:t>Currency</w:t>
            </w:r>
          </w:p>
        </w:tc>
        <w:tc>
          <w:tcPr>
            <w:tcW w:w="5953" w:type="dxa"/>
            <w:tcBorders>
              <w:top w:val="single" w:sz="4" w:space="0" w:color="000000"/>
              <w:start w:val="single" w:sz="4" w:space="0" w:color="000000"/>
              <w:bottom w:val="single" w:sz="4" w:space="0" w:color="000000"/>
              <w:end w:val="single" w:sz="4" w:space="0" w:color="000000"/>
            </w:tcBorders>
          </w:tcPr>
          <w:p>
            <w:pPr>
              <w:pStyle w:val="BodyText2"/>
              <w:spacing w:before="0" w:after="200"/>
              <w:ind w:start="0" w:end="0"/>
              <w:rPr>
                <w:i/>
                <w:i/>
                <w:sz w:val="18"/>
              </w:rPr>
            </w:pPr>
            <w:r>
              <w:rPr>
                <w:b/>
                <w:i/>
                <w:sz w:val="18"/>
              </w:rPr>
              <w:t>Interest Rate</w:t>
            </w:r>
          </w:p>
        </w:tc>
      </w:tr>
      <w:tr>
        <w:trPr/>
        <w:tc>
          <w:tcPr>
            <w:tcW w:w="2127" w:type="dxa"/>
            <w:tcBorders>
              <w:top w:val="single" w:sz="4" w:space="0" w:color="000000"/>
              <w:start w:val="single" w:sz="4" w:space="0" w:color="000000"/>
              <w:bottom w:val="single" w:sz="4" w:space="0" w:color="000000"/>
              <w:end w:val="single" w:sz="4" w:space="0" w:color="000000"/>
            </w:tcBorders>
          </w:tcPr>
          <w:p>
            <w:pPr>
              <w:pStyle w:val="BodyText2"/>
              <w:spacing w:before="0" w:after="200"/>
              <w:ind w:start="0" w:end="0"/>
              <w:rPr>
                <w:sz w:val="18"/>
              </w:rPr>
            </w:pPr>
            <w:r>
              <w:rPr>
                <w:sz w:val="18"/>
              </w:rPr>
              <w:t>United States Dollars</w:t>
            </w:r>
          </w:p>
        </w:tc>
        <w:tc>
          <w:tcPr>
            <w:tcW w:w="5953" w:type="dxa"/>
            <w:tcBorders>
              <w:top w:val="single" w:sz="4" w:space="0" w:color="000000"/>
              <w:start w:val="single" w:sz="4" w:space="0" w:color="000000"/>
              <w:bottom w:val="single" w:sz="4" w:space="0" w:color="000000"/>
              <w:end w:val="single" w:sz="4" w:space="0" w:color="000000"/>
            </w:tcBorders>
          </w:tcPr>
          <w:p>
            <w:pPr>
              <w:pStyle w:val="BodyText2"/>
              <w:spacing w:before="0" w:after="200"/>
              <w:ind w:start="0" w:end="0"/>
              <w:rPr/>
            </w:pPr>
            <w:r>
              <w:rPr>
                <w:sz w:val="18"/>
              </w:rPr>
              <w:t xml:space="preserve">USD - Federal Funds - H.15 (as defined in the ISDA Definitions, </w:t>
            </w:r>
            <w:r>
              <w:rPr>
                <w:i/>
                <w:sz w:val="18"/>
              </w:rPr>
              <w:t xml:space="preserve">mutatis mutandis </w:t>
            </w:r>
            <w:r>
              <w:rPr>
                <w:sz w:val="18"/>
              </w:rPr>
              <w:t>and deleting the words "(subject to the effect of any applicable Rate Cut-off Date determined as indicated in Section 6.2(d)(i))"), determined each day there is Posted Collateral which comprises USD.</w:t>
            </w:r>
          </w:p>
        </w:tc>
      </w:tr>
    </w:tbl>
    <w:p>
      <w:pPr>
        <w:pStyle w:val="BodyText2"/>
        <w:spacing w:before="0" w:after="0"/>
        <w:ind w:start="0" w:end="0"/>
        <w:rPr>
          <w:sz w:val="18"/>
        </w:rPr>
      </w:pPr>
      <w:r>
        <w:rPr>
          <w:sz w:val="18"/>
        </w:rPr>
      </w:r>
    </w:p>
    <w:sectPr>
      <w:footerReference w:type="default" r:id="rId2"/>
      <w:type w:val="nextPage"/>
      <w:pgSz w:w="11906" w:h="16838"/>
      <w:pgMar w:left="1701" w:right="1701" w:gutter="0" w:header="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London-2/1016276/01</w:t>
          </w:r>
        </w:p>
      </w:tc>
      <w:tc>
        <w:tcPr>
          <w:tcW w:w="2900" w:type="dxa"/>
          <w:tcBorders/>
          <w:vAlign w:val="bottom"/>
        </w:tcPr>
        <w:p>
          <w:pPr>
            <w:pStyle w:val="Footer"/>
            <w:jc w:val="center"/>
            <w:rPr>
              <w:sz w:val="22"/>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jc w:val="end"/>
            <w:rPr/>
          </w:pPr>
          <w:r>
            <w:rPr/>
            <w:t>M1230/25265</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4"/>
      <w:numFmt w:val="lowerLetter"/>
      <w:lvlText w:val="(%1)"/>
      <w:lvlJc w:val="start"/>
      <w:pPr>
        <w:tabs>
          <w:tab w:val="num" w:pos="720"/>
        </w:tabs>
        <w:ind w:start="720" w:hanging="720"/>
      </w:pPr>
      <w:rPr/>
    </w:lvl>
  </w:abstractNum>
  <w:abstractNum w:abstractNumId="4">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8">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5"/>
    <w:lvlOverride w:ilvl="0">
      <w:startOverride w:val="1"/>
    </w:lvlOverride>
    <w:lvlOverride w:ilvl="1">
      <w:startOverride w:val="1"/>
    </w:lvlOverride>
  </w:num>
  <w:num w:numId="11">
    <w:abstractNumId w:val="5"/>
    <w:lvlOverride w:ilvl="0">
      <w:startOverride w:val="1"/>
    </w:lvlOverride>
    <w:lvlOverride w:ilvl="1">
      <w:startOverride w:val="1"/>
    </w:lvlOverride>
  </w:num>
  <w:num w:numId="12">
    <w:abstractNumId w:val="5"/>
    <w:lvlOverride w:ilvl="0">
      <w:startOverride w:val="1"/>
    </w:lvlOverride>
    <w:lvlOverride w:ilvl="1">
      <w:startOverride w:val="1"/>
    </w:lvlOverride>
  </w:num>
  <w:num w:numId="13">
    <w:abstractNumId w:val="5"/>
    <w:lvlOverride w:ilvl="0">
      <w:startOverride w:val="1"/>
    </w:lvlOverride>
    <w:lvlOverride w:ilvl="1">
      <w:startOverride w:val="1"/>
    </w:lvlOverride>
  </w:num>
  <w:num w:numId="14">
    <w:abstractNumId w:val="4"/>
    <w:lvlOverride w:ilvl="0">
      <w:startOverride w:val="1"/>
    </w:lvlOverride>
    <w:lvlOverride w:ilvl="1">
      <w:startOverride w:val="1"/>
    </w:lvlOverride>
    <w:lvlOverride w:ilvl="2">
      <w:startOverride w:val="1"/>
    </w:lvlOverride>
  </w:num>
  <w:num w:numId="15">
    <w:abstractNumId w:val="2"/>
    <w:lvlOverride w:ilvl="0">
      <w:startOverride w:val="1"/>
    </w:lvlOverride>
    <w:lvlOverride w:ilvl="1">
      <w:startOverride w:val="1"/>
    </w:lvlOverride>
    <w:lvlOverride w:ilvl="2">
      <w:startOverride w:val="1"/>
    </w:lvlOverride>
  </w:num>
  <w:num w:numId="16">
    <w:abstractNumId w:val="5"/>
    <w:lvlOverride w:ilvl="0">
      <w:startOverride w:val="1"/>
    </w:lvlOverride>
    <w:lvlOverride w:ilvl="1">
      <w:startOverride w:val="1"/>
    </w:lvlOverride>
  </w:num>
  <w:num w:numId="17">
    <w:abstractNumId w:val="5"/>
    <w:lvlOverride w:ilvl="0">
      <w:startOverride w:val="1"/>
    </w:lvlOverride>
    <w:lvlOverride w:ilvl="1">
      <w:startOverride w:val="1"/>
    </w:lvlOverride>
  </w:num>
  <w:num w:numId="18">
    <w:abstractNumId w:val="4"/>
    <w:lvlOverride w:ilvl="0">
      <w:startOverride w:val="1"/>
    </w:lvlOverride>
    <w:lvlOverride w:ilvl="1">
      <w:startOverride w:val="1"/>
    </w:lvlOverride>
    <w:lvlOverride w:ilvl="2">
      <w:startOverride w:val="1"/>
    </w:lvlOverride>
  </w:num>
  <w:num w:numId="19">
    <w:abstractNumId w:val="5"/>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Symbol" w:hAnsi="Symbol" w:cs="Symbol"/>
      <w:color w:val="auto"/>
    </w:rPr>
  </w:style>
  <w:style w:type="character" w:styleId="WW8Num2z0">
    <w:name w:val="WW8Num2z0"/>
    <w:qFormat/>
    <w:rPr>
      <w:rFonts w:ascii="CG Times" w:hAnsi="CG Times" w:cs="CG Times"/>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style>
  <w:style w:type="character" w:styleId="WW8Num4z0">
    <w:name w:val="WW8Num4z0"/>
    <w:qFormat/>
    <w:rPr>
      <w:rFonts w:ascii="CG Times" w:hAnsi="CG Times" w:cs="CG Times"/>
      <w:b w:val="false"/>
      <w:i w:val="false"/>
      <w:sz w:val="20"/>
    </w:rPr>
  </w:style>
  <w:style w:type="character" w:styleId="WW8Num4z1">
    <w:name w:val="WW8Num4z1"/>
    <w:qFormat/>
    <w:rPr>
      <w:b w:val="false"/>
      <w:i w:val="false"/>
      <w:sz w:val="20"/>
    </w:rPr>
  </w:style>
  <w:style w:type="character" w:styleId="WW8Num4z4">
    <w:name w:val="WW8Num4z4"/>
    <w:qFormat/>
    <w:rPr>
      <w:b w:val="false"/>
      <w:i w:val="false"/>
      <w:sz w:val="18"/>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18"/>
    </w:rPr>
  </w:style>
  <w:style w:type="character" w:styleId="WW8Num6z1">
    <w:name w:val="WW8Num6z1"/>
    <w:qFormat/>
    <w:rPr>
      <w:b w:val="false"/>
      <w:i w:val="false"/>
      <w:sz w:val="18"/>
    </w:rPr>
  </w:style>
  <w:style w:type="character" w:styleId="WW8Num6z3">
    <w:name w:val="WW8Num6z3"/>
    <w:qFormat/>
    <w:rPr>
      <w:b w:val="false"/>
      <w:i w:val="false"/>
      <w:sz w:val="20"/>
    </w:rPr>
  </w:style>
  <w:style w:type="character" w:styleId="WW8Num6z8">
    <w:name w:val="WW8Num6z8"/>
    <w:qFormat/>
    <w:rPr>
      <w:b/>
      <w:i w:val="false"/>
      <w:caps/>
      <w:sz w:val="22"/>
    </w:rPr>
  </w:style>
  <w:style w:type="character" w:styleId="WW8Num7z0">
    <w:name w:val="WW8Num7z0"/>
    <w:qFormat/>
    <w:rPr>
      <w:rFonts w:ascii="CG Times" w:hAnsi="CG Times" w:cs="CG Times"/>
      <w:b w:val="false"/>
      <w:i w:val="false"/>
      <w:sz w:val="20"/>
    </w:rPr>
  </w:style>
  <w:style w:type="character" w:styleId="WW8Num7z1">
    <w:name w:val="WW8Num7z1"/>
    <w:qFormat/>
    <w:rPr>
      <w:b w:val="false"/>
      <w:i w:val="false"/>
      <w:sz w:val="20"/>
    </w:rPr>
  </w:style>
  <w:style w:type="character" w:styleId="WW8Num7z2">
    <w:name w:val="WW8Num7z2"/>
    <w:qFormat/>
    <w:rPr>
      <w:b w:val="false"/>
      <w:i w:val="false"/>
      <w:sz w:val="18"/>
    </w:rPr>
  </w:style>
  <w:style w:type="character" w:styleId="WW8Num7z8">
    <w:name w:val="WW8Num7z8"/>
    <w:qFormat/>
    <w:rPr>
      <w:b/>
      <w:i w:val="false"/>
      <w:caps/>
      <w:sz w:val="22"/>
    </w:rPr>
  </w:style>
  <w:style w:type="character" w:styleId="WW8Num8z0">
    <w:name w:val="WW8Num8z0"/>
    <w:qFormat/>
    <w:rPr>
      <w:rFonts w:ascii="CG Times" w:hAnsi="CG Times" w:cs="CG Times"/>
      <w:b w:val="false"/>
      <w:i w:val="false"/>
      <w:sz w:val="20"/>
    </w:rPr>
  </w:style>
  <w:style w:type="character" w:styleId="WW8Num8z1">
    <w:name w:val="WW8Num8z1"/>
    <w:qFormat/>
    <w:rPr>
      <w:b w:val="false"/>
      <w:i w:val="false"/>
      <w:sz w:val="20"/>
    </w:rPr>
  </w:style>
  <w:style w:type="character" w:styleId="WW8Num8z4">
    <w:name w:val="WW8Num8z4"/>
    <w:qFormat/>
    <w:rPr>
      <w:b w:val="false"/>
      <w:i w:val="false"/>
      <w:sz w:val="18"/>
    </w:rPr>
  </w:style>
  <w:style w:type="character" w:styleId="WW8Num8z8">
    <w:name w:val="WW8Num8z8"/>
    <w:qFormat/>
    <w:rPr>
      <w:b/>
      <w:i w:val="false"/>
      <w:caps/>
      <w:sz w:val="22"/>
    </w:rPr>
  </w:style>
  <w:style w:type="character" w:styleId="WW8Num10z0">
    <w:name w:val="WW8Num10z0"/>
    <w:qFormat/>
    <w:rPr>
      <w:rFonts w:ascii="CG Times" w:hAnsi="CG Times" w:cs="CG Times"/>
      <w:b/>
      <w:sz w:val="21"/>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7"/>
      </w:numPr>
      <w:tabs>
        <w:tab w:val="clear" w:pos="720"/>
        <w:tab w:val="left" w:pos="22" w:leader="none"/>
      </w:tabs>
    </w:pPr>
    <w:rPr/>
  </w:style>
  <w:style w:type="paragraph" w:styleId="ListAlpha2">
    <w:name w:val="List Alpha 2"/>
    <w:basedOn w:val="Normal"/>
    <w:next w:val="BodyText2"/>
    <w:qFormat/>
    <w:pPr>
      <w:numPr>
        <w:ilvl w:val="0"/>
        <w:numId w:val="7"/>
      </w:numPr>
      <w:tabs>
        <w:tab w:val="clear" w:pos="720"/>
        <w:tab w:val="left" w:pos="50" w:leader="none"/>
      </w:tabs>
    </w:pPr>
    <w:rPr/>
  </w:style>
  <w:style w:type="paragraph" w:styleId="ListAlpha3">
    <w:name w:val="List Alpha 3"/>
    <w:basedOn w:val="Normal"/>
    <w:next w:val="BodyText3"/>
    <w:qFormat/>
    <w:pPr>
      <w:numPr>
        <w:ilvl w:val="0"/>
        <w:numId w:val="7"/>
      </w:numPr>
      <w:tabs>
        <w:tab w:val="clear" w:pos="720"/>
        <w:tab w:val="left" w:pos="68" w:leader="none"/>
      </w:tabs>
    </w:pPr>
    <w:rPr/>
  </w:style>
  <w:style w:type="paragraph" w:styleId="ListALPHACAPS1">
    <w:name w:val="List ALPHA CAPS 1"/>
    <w:basedOn w:val="Normal"/>
    <w:next w:val="BodyText"/>
    <w:qFormat/>
    <w:pPr>
      <w:numPr>
        <w:ilvl w:val="0"/>
        <w:numId w:val="4"/>
      </w:numPr>
      <w:tabs>
        <w:tab w:val="clear" w:pos="720"/>
        <w:tab w:val="left" w:pos="22" w:leader="none"/>
      </w:tabs>
    </w:pPr>
    <w:rPr/>
  </w:style>
  <w:style w:type="paragraph" w:styleId="LISTALPHACAPS2">
    <w:name w:val="LIST ALPHA CAPS 2"/>
    <w:basedOn w:val="Normal"/>
    <w:next w:val="BodyText2"/>
    <w:qFormat/>
    <w:pPr>
      <w:numPr>
        <w:ilvl w:val="0"/>
        <w:numId w:val="4"/>
      </w:numPr>
      <w:tabs>
        <w:tab w:val="clear" w:pos="720"/>
        <w:tab w:val="left" w:pos="50" w:leader="none"/>
      </w:tabs>
    </w:pPr>
    <w:rPr/>
  </w:style>
  <w:style w:type="paragraph" w:styleId="LISTALPHACAPS3">
    <w:name w:val="LIST ALPHA CAPS 3"/>
    <w:basedOn w:val="Normal"/>
    <w:next w:val="BodyText3"/>
    <w:qFormat/>
    <w:pPr>
      <w:numPr>
        <w:ilvl w:val="0"/>
        <w:numId w:val="4"/>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6"/>
      </w:numPr>
      <w:tabs>
        <w:tab w:val="clear" w:pos="720"/>
        <w:tab w:val="left" w:pos="86" w:leader="none"/>
      </w:tabs>
    </w:pPr>
    <w:rPr/>
  </w:style>
  <w:style w:type="paragraph" w:styleId="ListLegal1">
    <w:name w:val="List Legal 1"/>
    <w:basedOn w:val="Normal"/>
    <w:next w:val="BodyText"/>
    <w:qFormat/>
    <w:pPr>
      <w:numPr>
        <w:ilvl w:val="0"/>
        <w:numId w:val="6"/>
      </w:numPr>
      <w:tabs>
        <w:tab w:val="clear" w:pos="720"/>
        <w:tab w:val="left" w:pos="22" w:leader="none"/>
      </w:tabs>
    </w:pPr>
    <w:rPr/>
  </w:style>
  <w:style w:type="paragraph" w:styleId="ListLegal2">
    <w:name w:val="List Legal 2"/>
    <w:basedOn w:val="Normal"/>
    <w:next w:val="BodyText"/>
    <w:qFormat/>
    <w:pPr>
      <w:numPr>
        <w:ilvl w:val="0"/>
        <w:numId w:val="6"/>
      </w:numPr>
      <w:tabs>
        <w:tab w:val="clear" w:pos="720"/>
        <w:tab w:val="left" w:pos="22" w:leader="none"/>
      </w:tabs>
    </w:pPr>
    <w:rPr/>
  </w:style>
  <w:style w:type="paragraph" w:styleId="ListLegal3">
    <w:name w:val="List Legal 3"/>
    <w:basedOn w:val="Normal"/>
    <w:next w:val="BodyText2"/>
    <w:qFormat/>
    <w:pPr>
      <w:numPr>
        <w:ilvl w:val="0"/>
        <w:numId w:val="6"/>
      </w:numPr>
      <w:tabs>
        <w:tab w:val="clear" w:pos="720"/>
        <w:tab w:val="left" w:pos="50" w:leader="none"/>
      </w:tabs>
    </w:pPr>
    <w:rPr/>
  </w:style>
  <w:style w:type="paragraph" w:styleId="ListRoman1">
    <w:name w:val="List Roman 1"/>
    <w:basedOn w:val="Normal"/>
    <w:next w:val="BodyText"/>
    <w:qFormat/>
    <w:pPr>
      <w:numPr>
        <w:ilvl w:val="0"/>
        <w:numId w:val="5"/>
      </w:numPr>
      <w:tabs>
        <w:tab w:val="clear" w:pos="720"/>
        <w:tab w:val="left" w:pos="22" w:leader="none"/>
      </w:tabs>
    </w:pPr>
    <w:rPr/>
  </w:style>
  <w:style w:type="paragraph" w:styleId="ListRoman2">
    <w:name w:val="List Roman 2"/>
    <w:basedOn w:val="Normal"/>
    <w:next w:val="BodyText2"/>
    <w:qFormat/>
    <w:pPr>
      <w:numPr>
        <w:ilvl w:val="0"/>
        <w:numId w:val="5"/>
      </w:numPr>
      <w:tabs>
        <w:tab w:val="clear" w:pos="720"/>
        <w:tab w:val="left" w:pos="50" w:leader="none"/>
      </w:tabs>
    </w:pPr>
    <w:rPr/>
  </w:style>
  <w:style w:type="paragraph" w:styleId="ListRoman3">
    <w:name w:val="List Roman 3"/>
    <w:basedOn w:val="Normal"/>
    <w:next w:val="BodyText3"/>
    <w:qFormat/>
    <w:pPr>
      <w:numPr>
        <w:ilvl w:val="0"/>
        <w:numId w:val="5"/>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8"/>
      </w:numPr>
      <w:spacing w:before="0" w:after="100"/>
    </w:pPr>
    <w:rPr/>
  </w:style>
  <w:style w:type="paragraph" w:styleId="NotesArabic">
    <w:name w:val="Notes Arabic"/>
    <w:basedOn w:val="Normal"/>
    <w:qFormat/>
    <w:pPr>
      <w:numPr>
        <w:ilvl w:val="0"/>
        <w:numId w:val="8"/>
      </w:numPr>
      <w:spacing w:before="0" w:after="100"/>
    </w:pPr>
    <w:rPr/>
  </w:style>
  <w:style w:type="paragraph" w:styleId="NotesRoman">
    <w:name w:val="Notes Roman"/>
    <w:basedOn w:val="Normal"/>
    <w:qFormat/>
    <w:pPr>
      <w:numPr>
        <w:ilvl w:val="0"/>
        <w:numId w:val="8"/>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9"/>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2001-08-30T07:25:00Z</dcterms:created>
  <dc:creator>FirstName Surname</dc:creator>
  <dc:description/>
  <dc:language>en-CA</dc:language>
  <cp:lastModifiedBy>FirstName Surname</cp:lastModifiedBy>
  <cp:lastPrinted>2001-08-30T17:01:00Z</cp:lastPrinted>
  <dcterms:modified xsi:type="dcterms:W3CDTF">2001-08-30T13:31:00Z</dcterms:modified>
  <cp:revision>7</cp:revision>
  <dc:subject/>
  <dc:title>Clifford Chance</dc:title>
</cp:coreProperties>
</file>