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Normal"/>
              <w:snapToGrid w:val="false"/>
              <w:spacing w:before="0" w:after="120"/>
              <w:rPr/>
            </w:pPr>
            <w:r>
              <w:rPr/>
            </w:r>
          </w:p>
          <w:p>
            <w:pPr>
              <w:pStyle w:val="Normal"/>
              <w:spacing w:before="0" w:after="120"/>
              <w:rPr/>
            </w:pPr>
            <w:r>
              <w:rPr/>
              <w:t xml:space="preserve">Paradigm Geophysical, Inc. ("Paradigm") is a twelve year old 3D seismic and computer modeling company based in Israel with offices in Houston, England, Canada, Brazil, Argentina, Venezuela, Russia, China, Singapore and Australia.  Paradigm’s improved seismic modeling products enhance the definition of the spatial geometry of oil and gas prospects and optimize drilling decisions. In 1997, the Company acquired CogniSeis Development, Inc. for approximately $11MM.  The acquisition allows Paradigm to offer a broader package of integrated services that includes interpretation and processing of 3-D seismic data. In 6/18/98, the Company repaid in full it's $6MM Subordinated Term Loan and granted EnSerCo 362,861 warrants (50% ENA ownership). In 4/00 EnSerCo converted it's warrants to common stock.  </w:t>
            </w:r>
          </w:p>
          <w:p>
            <w:pPr>
              <w:pStyle w:val="Normal"/>
              <w:spacing w:before="0" w:after="120"/>
              <w:rPr/>
            </w:pPr>
            <w:r>
              <w:rPr/>
              <w:t>Converted 362,861 warrants in a cashless conversion</w:t>
            </w:r>
          </w:p>
        </w:tc>
        <w:tc>
          <w:tcPr>
            <w:tcW w:w="0" w:type="dxa"/>
            <w:vMerge w:val="continue"/>
            <w:tcBorders/>
          </w:tcPr>
          <w:p>
            <w:pPr>
              <w:pStyle w:val="Normal"/>
              <w:snapToGrid w:val="false"/>
              <w:spacing w:before="0" w:after="120"/>
              <w:rPr/>
            </w:pPr>
            <w:r>
              <w:rPr/>
            </w:r>
          </w:p>
        </w:tc>
        <w:tc>
          <w:tcPr>
            <w:tcW w:w="0" w:type="dxa"/>
            <w:vMerge w:val="continue"/>
            <w:tcBorders/>
          </w:tcPr>
          <w:p>
            <w:pPr>
              <w:pStyle w:val="Normal"/>
              <w:snapToGrid w:val="false"/>
              <w:spacing w:before="0" w:after="120"/>
              <w:rPr/>
            </w:pPr>
            <w:r>
              <w:rPr/>
            </w:r>
          </w:p>
        </w:tc>
        <w:tc>
          <w:tcPr>
            <w:tcW w:w="0" w:type="dxa"/>
            <w:vMerge w:val="continue"/>
            <w:tcBorders/>
          </w:tcPr>
          <w:p>
            <w:pPr>
              <w:pStyle w:val="Normal"/>
              <w:snapToGrid w:val="false"/>
              <w:spacing w:before="0" w:after="120"/>
              <w:rPr/>
            </w:pPr>
            <w:r>
              <w:rPr/>
            </w:r>
          </w:p>
        </w:tc>
        <w:tc>
          <w:tcPr>
            <w:tcW w:w="0" w:type="dxa"/>
            <w:vMerge w:val="continue"/>
            <w:tcBorders/>
          </w:tcPr>
          <w:p>
            <w:pPr>
              <w:pStyle w:val="Normal"/>
              <w:snapToGrid w:val="false"/>
              <w:spacing w:before="0" w:after="120"/>
              <w:rPr/>
            </w:pPr>
            <w:r>
              <w:rPr/>
            </w:r>
          </w:p>
        </w:tc>
        <w:tc>
          <w:tcPr>
            <w:tcW w:w="0" w:type="dxa"/>
            <w:vMerge w:val="continue"/>
            <w:tcBorders/>
          </w:tcPr>
          <w:p>
            <w:pPr>
              <w:pStyle w:val="Normal"/>
              <w:snapToGrid w:val="false"/>
              <w:spacing w:before="0" w:after="120"/>
              <w:rPr/>
            </w:pPr>
            <w:r>
              <w:rPr/>
            </w:r>
          </w:p>
        </w:tc>
        <w:tc>
          <w:tcPr>
            <w:tcW w:w="0" w:type="dxa"/>
            <w:vMerge w:val="continue"/>
            <w:tcBorders/>
          </w:tcPr>
          <w:p>
            <w:pPr>
              <w:pStyle w:val="Normal"/>
              <w:snapToGrid w:val="false"/>
              <w:spacing w:before="0" w:after="120"/>
              <w:rPr/>
            </w:pPr>
            <w:r>
              <w:rPr/>
            </w:r>
          </w:p>
        </w:tc>
        <w:tc>
          <w:tcPr>
            <w:tcW w:w="0" w:type="dxa"/>
            <w:vMerge w:val="continue"/>
            <w:tcBorders/>
          </w:tcPr>
          <w:p>
            <w:pPr>
              <w:pStyle w:val="Normal"/>
              <w:snapToGrid w:val="false"/>
              <w:spacing w:before="0" w:after="120"/>
              <w:rPr/>
            </w:pPr>
            <w:r>
              <w:rPr/>
            </w:r>
          </w:p>
        </w:tc>
        <w:tc>
          <w:tcPr>
            <w:tcW w:w="0" w:type="dxa"/>
            <w:vMerge w:val="continue"/>
            <w:tcBorders/>
          </w:tcPr>
          <w:p>
            <w:pPr>
              <w:pStyle w:val="Normal"/>
              <w:snapToGrid w:val="false"/>
              <w:spacing w:before="0" w:after="120"/>
              <w:rPr/>
            </w:pPr>
            <w:r>
              <w:rPr/>
            </w:r>
          </w:p>
        </w:tc>
        <w:tc>
          <w:tcPr>
            <w:tcW w:w="0" w:type="dxa"/>
            <w:vMerge w:val="continue"/>
            <w:tcBorders/>
          </w:tcPr>
          <w:p>
            <w:pPr>
              <w:pStyle w:val="Normal"/>
              <w:snapToGrid w:val="false"/>
              <w:spacing w:before="0" w:after="120"/>
              <w:rPr/>
            </w:pPr>
            <w:r>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 xml:space="preserve">LEGAL NAME REPRESENTED BY STOCK: </w:t>
      </w:r>
      <w:r>
        <w:rPr/>
        <w:t>Paradigm Geophysical Ltd.</w:t>
      </w:r>
    </w:p>
    <w:p>
      <w:pPr>
        <w:pStyle w:val="Normal"/>
        <w:pBdr>
          <w:top w:val="single" w:sz="12" w:space="1" w:color="000000"/>
          <w:bottom w:val="single" w:sz="12" w:space="1" w:color="000000"/>
        </w:pBdr>
        <w:rPr/>
      </w:pPr>
      <w:r>
        <w:rPr>
          <w:b/>
        </w:rPr>
        <w:t xml:space="preserve">TICKER SYMBOL: </w:t>
      </w:r>
      <w:r>
        <w:rPr/>
        <w:t>PGEO</w:t>
      </w:r>
    </w:p>
    <w:p>
      <w:pPr>
        <w:pStyle w:val="Normal"/>
        <w:pBdr>
          <w:top w:val="single" w:sz="12" w:space="1" w:color="000000"/>
          <w:bottom w:val="single" w:sz="12" w:space="1" w:color="000000"/>
        </w:pBdr>
        <w:rPr/>
      </w:pPr>
      <w:r>
        <w:rPr>
          <w:b/>
        </w:rPr>
        <w:t xml:space="preserve">TYPE OF STOCK: </w:t>
      </w:r>
      <w:r>
        <w:rPr/>
        <w:t>common stock</w:t>
      </w:r>
    </w:p>
    <w:p>
      <w:pPr>
        <w:pStyle w:val="Normal"/>
        <w:pBdr>
          <w:top w:val="single" w:sz="12" w:space="1" w:color="000000"/>
          <w:bottom w:val="single" w:sz="12" w:space="1" w:color="000000"/>
        </w:pBdr>
        <w:rPr/>
      </w:pPr>
      <w:r>
        <w:rPr>
          <w:b/>
        </w:rPr>
        <w:t xml:space="preserve">TRADING EXCHANGE: </w:t>
      </w:r>
      <w:r>
        <w:rPr/>
        <w:t>NASDAQ</w:t>
      </w:r>
    </w:p>
    <w:p>
      <w:pPr>
        <w:pStyle w:val="Normal"/>
        <w:pBdr>
          <w:top w:val="single" w:sz="12" w:space="1" w:color="000000"/>
          <w:bottom w:val="single" w:sz="12" w:space="1" w:color="000000"/>
        </w:pBdr>
        <w:rPr>
          <w:b/>
        </w:rPr>
      </w:pPr>
      <w:r>
        <w:rPr>
          <w:b/>
        </w:rPr>
        <w:t xml:space="preserve">STRIKE PRICE: </w:t>
      </w:r>
      <w:r>
        <w:rPr/>
        <w:t>$5.875</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ab/>
        <w:t xml:space="preserve"> NET – </w:t>
      </w:r>
      <w:r>
        <w:rPr/>
        <w:t>59,891 shares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/mnt/main-storage/datasets/enron-docs/doc/Paradigm.doc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/mnt/main-storage/datasets/enron-docs/doc/Paradigm.doc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2000-08-30T21:32:00Z</dcterms:created>
  <dc:creator>mruane</dc:creator>
  <dc:description>MR: 9-20-99 added tax signoff</dc:description>
  <dc:language>en-CA</dc:language>
  <cp:lastModifiedBy>brian schwertner</cp:lastModifiedBy>
  <cp:lastPrinted>2000-09-01T15:58:00Z</cp:lastPrinted>
  <dcterms:modified xsi:type="dcterms:W3CDTF">2000-09-01T18:44:00Z</dcterms:modified>
  <cp:revision>9</cp:revision>
  <dc:subject/>
  <dc:title>ENRON RISK ASSESSMENT AND CONTROL</dc:title>
</cp:coreProperties>
</file>