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er"/>
        <w:tabs>
          <w:tab w:val="clear" w:pos="4320"/>
          <w:tab w:val="clear" w:pos="8640"/>
        </w:tabs>
        <w:rPr/>
      </w:pPr>
      <w:r>
        <w:rPr/>
        <w:tab/>
        <w:tab/>
        <w:tab/>
        <w:tab/>
        <w:tab/>
        <w:tab/>
        <w:t>August 2, 2000</w:t>
      </w:r>
    </w:p>
    <w:p>
      <w:pPr>
        <w:pStyle w:val="Normal"/>
        <w:rPr/>
      </w:pPr>
      <w:r>
        <w:rPr/>
      </w:r>
    </w:p>
    <w:p>
      <w:pPr>
        <w:pStyle w:val="Normal"/>
        <w:rPr/>
      </w:pPr>
      <w:r>
        <w:rPr/>
      </w:r>
    </w:p>
    <w:p>
      <w:pPr>
        <w:pStyle w:val="Normal"/>
        <w:rPr/>
      </w:pPr>
      <w:r>
        <w:rPr/>
      </w:r>
    </w:p>
    <w:p>
      <w:pPr>
        <w:pStyle w:val="Normal"/>
        <w:rPr/>
      </w:pPr>
      <w:r>
        <w:rPr/>
      </w:r>
    </w:p>
    <w:p>
      <w:pPr>
        <w:pStyle w:val="Normal"/>
        <w:rPr/>
      </w:pPr>
      <w:r>
        <w:rPr/>
        <w:t>Via Facsimile (905) 792-3330</w:t>
      </w:r>
    </w:p>
    <w:p>
      <w:pPr>
        <w:pStyle w:val="Normal"/>
        <w:rPr/>
      </w:pPr>
      <w:r>
        <w:rPr/>
      </w:r>
    </w:p>
    <w:p>
      <w:pPr>
        <w:pStyle w:val="Normal"/>
        <w:rPr/>
      </w:pPr>
      <w:r>
        <w:rPr/>
        <w:t>Par-Pak Ltd.</w:t>
      </w:r>
    </w:p>
    <w:p>
      <w:pPr>
        <w:pStyle w:val="Normal"/>
        <w:rPr/>
      </w:pPr>
      <w:r>
        <w:rPr/>
        <w:t>26 Victoria Crescent</w:t>
      </w:r>
    </w:p>
    <w:p>
      <w:pPr>
        <w:pStyle w:val="Normal"/>
        <w:rPr/>
      </w:pPr>
      <w:r>
        <w:rPr/>
        <w:t xml:space="preserve">Brampton, Ontario  </w:t>
      </w:r>
    </w:p>
    <w:p>
      <w:pPr>
        <w:pStyle w:val="Normal"/>
        <w:rPr/>
      </w:pPr>
      <w:r>
        <w:rPr/>
        <w:t>Canada L6T 1E5</w:t>
      </w:r>
    </w:p>
    <w:p>
      <w:pPr>
        <w:pStyle w:val="Normal"/>
        <w:rPr/>
      </w:pPr>
      <w:r>
        <w:rPr/>
      </w:r>
    </w:p>
    <w:p>
      <w:pPr>
        <w:pStyle w:val="Normal"/>
        <w:rPr/>
      </w:pPr>
      <w:r>
        <w:rPr/>
        <w:t>Dear Mr. Amin Sajun and Mr. Sajjad Ebrahim:</w:t>
      </w:r>
    </w:p>
    <w:p>
      <w:pPr>
        <w:pStyle w:val="Normal"/>
        <w:rPr/>
      </w:pPr>
      <w:r>
        <w:rPr/>
      </w:r>
    </w:p>
    <w:p>
      <w:pPr>
        <w:pStyle w:val="Normal"/>
        <w:jc w:val="both"/>
        <w:rPr/>
      </w:pPr>
      <w:r>
        <w:rPr/>
        <w:tab/>
        <w:t>We are in receipt of your fax message dated Wednesday July 26, 2000, including that certain letter dated July 26, 2000 addressed to you from Russel Z. Kowalyk of Fraser Milner Casgrain (the “</w:t>
      </w:r>
      <w:r>
        <w:rPr>
          <w:u w:val="single"/>
        </w:rPr>
        <w:t>July Letter</w:t>
      </w:r>
      <w:r>
        <w:rPr/>
        <w:t>”).  Reference is made to that certain ISDA Master Agreement between Enron North America Corp. (“</w:t>
      </w:r>
      <w:r>
        <w:rPr>
          <w:u w:val="single"/>
        </w:rPr>
        <w:t>ENA</w:t>
      </w:r>
      <w:r>
        <w:rPr/>
        <w:t>”) and Par-Pak Ltd. (“</w:t>
      </w:r>
      <w:r>
        <w:rPr>
          <w:u w:val="single"/>
        </w:rPr>
        <w:t>PP</w:t>
      </w:r>
      <w:r>
        <w:rPr/>
        <w:t>”) dated October 26, 1999 (the “</w:t>
      </w:r>
      <w:r>
        <w:rPr>
          <w:u w:val="single"/>
        </w:rPr>
        <w:t>Master</w:t>
      </w:r>
      <w:r>
        <w:rPr/>
        <w:t>”).  All capitalized terms used in this letter that are not otherwise defined herein shall have the meanings given to them in the Master.</w:t>
      </w:r>
    </w:p>
    <w:p>
      <w:pPr>
        <w:pStyle w:val="Normal"/>
        <w:jc w:val="both"/>
        <w:rPr/>
      </w:pPr>
      <w:r>
        <w:rPr/>
      </w:r>
    </w:p>
    <w:p>
      <w:pPr>
        <w:pStyle w:val="Normal"/>
        <w:jc w:val="both"/>
        <w:rPr/>
      </w:pPr>
      <w:r>
        <w:rPr/>
        <w:tab/>
        <w:t>While we will currently take no formal position with respect to the issues raised in the July Letter by counsel to PP, at this time we are amenable to performing the calculations in respect of the Credit Support Amount, the Delivery Amount, and the Return Amount in accordance with the Master.  This letter and our actions in respect hereof shall not be, or be construed as, a waiver by ENA, expressed or implied, of any rights of ENA in respect of any provision of any confirmation agreement entered into between ENA and PP prior to the Master, or a waiver of, or consent to, any Event(s) of Default under, and as defined in, any such confirmation agreement.</w:t>
      </w:r>
    </w:p>
    <w:p>
      <w:pPr>
        <w:pStyle w:val="Heading1"/>
        <w:ind w:hanging="0" w:start="0"/>
        <w:rPr/>
      </w:pPr>
      <w:r>
        <w:rPr/>
        <w:tab/>
      </w:r>
    </w:p>
    <w:p>
      <w:pPr>
        <w:pStyle w:val="Heading1"/>
        <w:ind w:hanging="0" w:start="0"/>
        <w:rPr/>
      </w:pPr>
      <w:r>
        <w:rPr/>
        <w:t xml:space="preserve">Delivery Amount Summary  </w:t>
      </w:r>
    </w:p>
    <w:p>
      <w:pPr>
        <w:pStyle w:val="Normal"/>
        <w:rPr/>
      </w:pPr>
      <w:r>
        <w:rPr/>
      </w:r>
    </w:p>
    <w:p>
      <w:pPr>
        <w:pStyle w:val="Normal"/>
        <w:jc w:val="both"/>
        <w:rPr>
          <w:b/>
          <w:bCs/>
        </w:rPr>
      </w:pPr>
      <w:r>
        <w:rPr>
          <w:b/>
          <w:bCs/>
        </w:rPr>
        <w:t xml:space="preserve">Credit Support Amount </w:t>
        <w:tab/>
        <w:t>$1,841,712</w:t>
      </w:r>
    </w:p>
    <w:p>
      <w:pPr>
        <w:pStyle w:val="Normal"/>
        <w:jc w:val="both"/>
        <w:rPr>
          <w:b/>
          <w:bCs/>
        </w:rPr>
      </w:pPr>
      <w:r>
        <w:rPr>
          <w:b/>
          <w:bCs/>
        </w:rPr>
      </w:r>
    </w:p>
    <w:p>
      <w:pPr>
        <w:pStyle w:val="Normal"/>
        <w:jc w:val="both"/>
        <w:rPr>
          <w:b/>
          <w:bCs/>
        </w:rPr>
      </w:pPr>
      <w:r>
        <w:rPr>
          <w:b/>
          <w:bCs/>
        </w:rPr>
        <w:t>Posted Credit Support</w:t>
        <w:tab/>
        <w:t>&lt;2                &gt;</w:t>
      </w:r>
    </w:p>
    <w:p>
      <w:pPr>
        <w:pStyle w:val="Normal"/>
        <w:jc w:val="both"/>
        <w:rPr>
          <w:b/>
          <w:bCs/>
        </w:rPr>
      </w:pPr>
      <w:r>
        <w:rPr>
          <w:b/>
          <w:bCs/>
        </w:rPr>
        <w:tab/>
        <w:tab/>
        <w:tab/>
        <w:tab/>
      </w:r>
      <w:r>
        <w:rPr>
          <w:b/>
          <w:bCs/>
          <w:u w:val="single"/>
        </w:rPr>
        <w:tab/>
        <w:tab/>
      </w:r>
    </w:p>
    <w:p>
      <w:pPr>
        <w:pStyle w:val="Normal"/>
        <w:jc w:val="both"/>
        <w:rPr>
          <w:b/>
          <w:bCs/>
        </w:rPr>
      </w:pPr>
      <w:r>
        <w:rPr>
          <w:b/>
          <w:bCs/>
        </w:rPr>
      </w:r>
    </w:p>
    <w:p>
      <w:pPr>
        <w:pStyle w:val="Normal"/>
        <w:ind w:firstLine="720" w:start="2160" w:end="0"/>
        <w:jc w:val="both"/>
        <w:rPr>
          <w:b/>
          <w:bCs/>
        </w:rPr>
      </w:pPr>
      <w:r>
        <w:rPr>
          <w:b/>
          <w:bCs/>
        </w:rPr>
        <w:t>&lt;                   &gt;</w:t>
      </w:r>
    </w:p>
    <w:p>
      <w:pPr>
        <w:pStyle w:val="Normal"/>
        <w:ind w:firstLine="720" w:start="2160" w:end="0"/>
        <w:jc w:val="both"/>
        <w:rPr>
          <w:b/>
          <w:bCs/>
        </w:rPr>
      </w:pPr>
      <w:r>
        <w:rPr>
          <w:b/>
          <w:bCs/>
        </w:rPr>
      </w:r>
    </w:p>
    <w:p>
      <w:pPr>
        <w:pStyle w:val="BodyText"/>
        <w:rPr/>
      </w:pPr>
      <w:r>
        <w:rPr/>
        <w:tab/>
        <w:t>Based upon, and subject to, the foregoing, you are not required to deliver Eligible Credit Support at this time.  Should you have any questions with respect to the matters herein set forth, please contact Wendi LeBrocq at (713) 853-3835.</w:t>
      </w:r>
    </w:p>
    <w:p>
      <w:pPr>
        <w:pStyle w:val="Normal"/>
        <w:jc w:val="both"/>
        <w:rPr>
          <w:b/>
          <w:bCs/>
        </w:rPr>
      </w:pPr>
      <w:r>
        <w:rPr>
          <w:b/>
          <w:bCs/>
        </w:rPr>
      </w:r>
    </w:p>
    <w:p>
      <w:pPr>
        <w:pStyle w:val="Normal"/>
        <w:jc w:val="both"/>
        <w:rPr/>
      </w:pPr>
      <w:r>
        <w:rPr>
          <w:b/>
          <w:bCs/>
        </w:rPr>
        <w:tab/>
        <w:tab/>
        <w:tab/>
        <w:tab/>
        <w:tab/>
        <w:tab/>
      </w:r>
      <w:r>
        <w:rPr/>
        <w:t>Sincerely,</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Molly Harris</w:t>
      </w:r>
    </w:p>
    <w:p>
      <w:pPr>
        <w:pStyle w:val="Normal"/>
        <w:jc w:val="both"/>
        <w:rPr/>
      </w:pPr>
      <w:r>
        <w:rPr/>
        <w:tab/>
        <w:tab/>
        <w:tab/>
        <w:tab/>
        <w:tab/>
        <w:tab/>
        <w:t>Director, Risk Assessment and Control</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/mnt/main-storage/datasets/enron-docs/doc/ParPakcollateral.doc</w:t>
    </w:r>
    <w:r>
      <w:rPr>
        <w:sz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2000-08-02T14:05:00Z</dcterms:created>
  <dc:creator>mcook</dc:creator>
  <dc:description/>
  <dc:language>en-CA</dc:language>
  <cp:lastModifiedBy>mcook</cp:lastModifiedBy>
  <cp:lastPrinted>2000-08-02T12:21:00Z</cp:lastPrinted>
  <dcterms:modified xsi:type="dcterms:W3CDTF">2000-08-02T14:51:00Z</dcterms:modified>
  <cp:revision>6</cp:revision>
  <dc:subject/>
  <dc:title/>
</cp:coreProperties>
</file>