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[Financial Currency]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(the “Definitions”) as published by the International Swaps and Derivatives Association, Inc., as such Definitions may be amended, supplemented, replaced or modified from time to time, are incorporated into this GTC. In the event of any inconsistency between the Definitions and this GTC, this GTC will prevail. Capitalized terms used herein but not defined herein or in the Definitions or the ISDA Form, defined hereinbelow,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3.</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4.</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5.</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6.</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7.</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8.</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Fonts w:cs="Arial" w:ascii="Arial" w:hAnsi="Arial"/>
          <w:bCs/>
          <w:sz w:val="20"/>
        </w:rPr>
        <w:t>12</w:t>
      </w:r>
      <w:r>
        <w:rPr>
          <w:rFonts w:cs="Arial" w:ascii="Arial" w:hAnsi="Arial"/>
          <w:b/>
          <w:sz w:val="20"/>
        </w:rPr>
        <w:t>.</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rFonts w:cs="Arial" w:ascii="Arial" w:hAnsi="Arial"/>
          <w:sz w:val="20"/>
          <w:szCs w:val="22"/>
        </w:rPr>
        <w:t>13.</w:t>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/mnt/main-storage/datasets/enron-docs/doc/ParForwardmonthC1.doc</w:t>
      </w:r>
      <w:r>
        <w:rPr>
          <w:sz w:val="20"/>
          <w:szCs w:val="22"/>
          <w:rFonts w:cs="Arial" w:ascii="Arial" w:hAnsi="Arial"/>
        </w:rPr>
        <w:fldChar w:fldCharType="end"/>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WW8Num7z0">
    <w:name w:val="WW8Num7z0"/>
    <w:qFormat/>
    <w:rPr>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lockText">
    <w:name w:val="Block Text"/>
    <w:basedOn w:val="Normal"/>
    <w:qFormat/>
    <w:pPr>
      <w:widowControl/>
      <w:spacing w:before="0" w:after="0"/>
      <w:ind w:firstLine="720" w:start="180" w:end="-360"/>
    </w:pPr>
    <w:rPr>
      <w:sz w:val="20"/>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2001-03-29T13:03:00Z</dcterms:created>
  <dc:creator>mlozano</dc:creator>
  <dc:description/>
  <dc:language>en-CA</dc:language>
  <cp:lastModifiedBy>sshackl</cp:lastModifiedBy>
  <cp:lastPrinted>2001-03-28T11:21:00Z</cp:lastPrinted>
  <dcterms:modified xsi:type="dcterms:W3CDTF">2001-03-29T13:28:00Z</dcterms:modified>
  <cp:revision>8</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