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March 15, 2001</w:t>
      </w:r>
    </w:p>
    <w:p>
      <w:pPr>
        <w:pStyle w:val="Normal"/>
        <w:numPr>
          <w:ilvl w:val="0"/>
          <w:numId w:val="0"/>
        </w:numPr>
        <w:jc w:val="center"/>
        <w:outlineLvl w:val="0"/>
        <w:rPr>
          <w:rFonts w:ascii="Arial" w:hAnsi="Arial" w:cs="Arial"/>
          <w:b/>
          <w:sz w:val="20"/>
        </w:rPr>
      </w:pPr>
      <w:r>
        <w:rPr>
          <w:rFonts w:cs="Arial" w:ascii="Arial" w:hAnsi="Arial"/>
          <w:b/>
          <w:sz w:val="20"/>
        </w:rPr>
        <w:t>ENRON NORTH AMERICA CORP.</w:t>
      </w:r>
    </w:p>
    <w:p>
      <w:pPr>
        <w:pStyle w:val="Normal"/>
        <w:numPr>
          <w:ilvl w:val="0"/>
          <w:numId w:val="0"/>
        </w:numPr>
        <w:jc w:val="center"/>
        <w:outlineLvl w:val="0"/>
        <w:rPr>
          <w:rFonts w:ascii="Arial" w:hAnsi="Arial" w:cs="Arial"/>
          <w:b/>
          <w:sz w:val="20"/>
        </w:rPr>
      </w:pPr>
      <w:r>
        <w:rPr>
          <w:rFonts w:cs="Arial" w:ascii="Arial" w:hAnsi="Arial"/>
          <w:b/>
          <w:sz w:val="20"/>
        </w:rPr>
        <w:t>[Par Forward]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  </w:t>
      </w:r>
    </w:p>
    <w:p>
      <w:pPr>
        <w:pStyle w:val="Normal"/>
        <w:jc w:val="both"/>
        <w:rPr>
          <w:rFonts w:ascii="Arial" w:hAnsi="Arial" w:cs="Arial"/>
          <w:sz w:val="20"/>
        </w:rPr>
      </w:pPr>
      <w:r>
        <w:rPr>
          <w:rFonts w:cs="Arial" w:ascii="Arial" w:hAnsi="Arial"/>
          <w:sz w:val="20"/>
        </w:rPr>
        <w:t>1.</w:t>
        <w:tab/>
        <w:t>Until a relevant master agreement is executed between you ("Counterparty") and Enron North America Corp. ("Enron"), this GTC will set forth the general terms and conditions governing all [Par Forward]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2000 ISDA Definitions and the 1998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jc w:val="both"/>
        <w:rPr/>
      </w:pPr>
      <w:r>
        <w:rPr>
          <w:rFonts w:cs="Arial" w:ascii="Arial" w:hAnsi="Arial"/>
          <w:sz w:val="20"/>
        </w:rPr>
        <w:t>2.</w:t>
        <w:tab/>
      </w:r>
      <w:r>
        <w:rPr>
          <w:rFonts w:cs="Arial" w:ascii="Arial" w:hAnsi="Arial"/>
          <w:b/>
          <w:sz w:val="20"/>
          <w:u w:val="single"/>
        </w:rPr>
        <w:t>Terms of Transaction.</w:t>
      </w:r>
      <w:r>
        <w:rPr>
          <w:rFonts w:cs="Arial" w:ascii="Arial" w:hAnsi="Arial"/>
          <w:b/>
          <w:sz w:val="20"/>
        </w:rPr>
        <w:t xml:space="preserve"> </w:t>
      </w:r>
      <w:r>
        <w:rPr/>
        <w:t>The terms of the particular Transaction to which this Confirmation relates are as follows:</w:t>
      </w:r>
    </w:p>
    <w:tbl>
      <w:tblPr>
        <w:tblW w:w="9554" w:type="dxa"/>
        <w:jc w:val="start"/>
        <w:tblInd w:w="105" w:type="dxa"/>
        <w:tblLayout w:type="fixed"/>
        <w:tblCellMar>
          <w:top w:w="0" w:type="dxa"/>
          <w:start w:w="105" w:type="dxa"/>
          <w:bottom w:w="0" w:type="dxa"/>
          <w:end w:w="105" w:type="dxa"/>
        </w:tblCellMar>
      </w:tblPr>
      <w:tblGrid>
        <w:gridCol w:w="3153"/>
        <w:gridCol w:w="6401"/>
      </w:tblGrid>
      <w:tr>
        <w:trPr/>
        <w:tc>
          <w:tcPr>
            <w:tcW w:w="3153" w:type="dxa"/>
            <w:tcBorders/>
          </w:tcPr>
          <w:p>
            <w:pPr>
              <w:pStyle w:val="Normal"/>
              <w:spacing w:before="100" w:after="100"/>
              <w:jc w:val="both"/>
              <w:rPr>
                <w:rFonts w:ascii="Arial" w:hAnsi="Arial" w:cs="Arial"/>
                <w:sz w:val="20"/>
              </w:rPr>
            </w:pPr>
            <w:r>
              <w:rPr>
                <w:rFonts w:cs="Arial" w:ascii="Arial" w:hAnsi="Arial"/>
                <w:sz w:val="20"/>
              </w:rPr>
              <w:t>Transaction Type:</w:t>
            </w:r>
          </w:p>
        </w:tc>
        <w:tc>
          <w:tcPr>
            <w:tcW w:w="6401" w:type="dxa"/>
            <w:tcBorders/>
          </w:tcPr>
          <w:p>
            <w:pPr>
              <w:pStyle w:val="Normal"/>
              <w:spacing w:before="100" w:after="100"/>
              <w:jc w:val="both"/>
              <w:rPr>
                <w:rFonts w:ascii="Arial" w:hAnsi="Arial" w:cs="Arial"/>
                <w:sz w:val="20"/>
              </w:rPr>
            </w:pPr>
            <w:r>
              <w:rPr>
                <w:rFonts w:cs="Arial" w:ascii="Arial" w:hAnsi="Arial"/>
                <w:sz w:val="20"/>
              </w:rPr>
              <w:t>Cooling Degree Day ("CDD") Swap</w:t>
            </w:r>
          </w:p>
        </w:tc>
      </w:tr>
      <w:tr>
        <w:trPr/>
        <w:tc>
          <w:tcPr>
            <w:tcW w:w="3153" w:type="dxa"/>
            <w:tcBorders/>
          </w:tcPr>
          <w:p>
            <w:pPr>
              <w:pStyle w:val="Normal"/>
              <w:spacing w:before="100" w:after="100"/>
              <w:jc w:val="both"/>
              <w:rPr>
                <w:rFonts w:ascii="Arial" w:hAnsi="Arial" w:cs="Arial"/>
                <w:sz w:val="20"/>
              </w:rPr>
            </w:pPr>
            <w:r>
              <w:rPr>
                <w:rFonts w:cs="Arial" w:ascii="Arial" w:hAnsi="Arial"/>
                <w:sz w:val="20"/>
              </w:rPr>
              <w:t>Calculation Period:</w:t>
            </w:r>
          </w:p>
        </w:tc>
        <w:tc>
          <w:tcPr>
            <w:tcW w:w="6401" w:type="dxa"/>
            <w:tcBorders/>
          </w:tcPr>
          <w:p>
            <w:pPr>
              <w:pStyle w:val="Normal"/>
              <w:spacing w:before="100" w:after="100"/>
              <w:jc w:val="both"/>
              <w:rPr>
                <w:rFonts w:ascii="Arial" w:hAnsi="Arial" w:cs="Arial"/>
                <w:sz w:val="20"/>
              </w:rPr>
            </w:pPr>
            <w:r>
              <w:rPr>
                <w:rFonts w:cs="Arial" w:ascii="Arial" w:hAnsi="Arial"/>
                <w:sz w:val="20"/>
              </w:rPr>
              <w:t>The period from and including the Effective Date to and including the Termination Date.</w:t>
            </w:r>
          </w:p>
        </w:tc>
      </w:tr>
      <w:tr>
        <w:trPr/>
        <w:tc>
          <w:tcPr>
            <w:tcW w:w="3153" w:type="dxa"/>
            <w:tcBorders/>
          </w:tcPr>
          <w:p>
            <w:pPr>
              <w:pStyle w:val="Normal"/>
              <w:spacing w:before="100" w:after="100"/>
              <w:jc w:val="both"/>
              <w:rPr>
                <w:rFonts w:ascii="Arial" w:hAnsi="Arial" w:cs="Arial"/>
                <w:sz w:val="20"/>
              </w:rPr>
            </w:pPr>
            <w:r>
              <w:rPr>
                <w:rFonts w:cs="Arial" w:ascii="Arial" w:hAnsi="Arial"/>
                <w:sz w:val="20"/>
              </w:rPr>
              <w:t>Payment Date(s):</w:t>
            </w:r>
          </w:p>
        </w:tc>
        <w:tc>
          <w:tcPr>
            <w:tcW w:w="6401" w:type="dxa"/>
            <w:tcBorders/>
          </w:tcPr>
          <w:p>
            <w:pPr>
              <w:pStyle w:val="Normal"/>
              <w:spacing w:before="100" w:after="100"/>
              <w:jc w:val="both"/>
              <w:rPr/>
            </w:pPr>
            <w:r>
              <w:rPr>
                <w:rFonts w:cs="Arial" w:ascii="Arial" w:hAnsi="Arial"/>
                <w:sz w:val="20"/>
              </w:rPr>
              <w:t>The fifth Business Day after the Floating Amount for the Calculation Period is determinable,</w:t>
            </w:r>
            <w:r>
              <w:rPr>
                <w:rFonts w:cs="Arial" w:ascii="Arial" w:hAnsi="Arial"/>
                <w:b/>
                <w:sz w:val="20"/>
              </w:rPr>
              <w:t xml:space="preserve"> provided, however,</w:t>
            </w:r>
            <w:r>
              <w:rPr>
                <w:rFonts w:cs="Arial" w:ascii="Arial" w:hAnsi="Arial"/>
                <w:sz w:val="20"/>
              </w:rPr>
              <w:t xml:space="preserve">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w:t>
            </w:r>
          </w:p>
        </w:tc>
      </w:tr>
      <w:tr>
        <w:trPr/>
        <w:tc>
          <w:tcPr>
            <w:tcW w:w="3153" w:type="dxa"/>
            <w:tcBorders/>
          </w:tcPr>
          <w:p>
            <w:pPr>
              <w:pStyle w:val="Normal"/>
              <w:spacing w:before="100" w:after="100"/>
              <w:jc w:val="both"/>
              <w:rPr>
                <w:rFonts w:ascii="Arial" w:hAnsi="Arial" w:cs="Arial"/>
                <w:sz w:val="20"/>
              </w:rPr>
            </w:pPr>
            <w:r>
              <w:rPr>
                <w:rFonts w:cs="Arial" w:ascii="Arial" w:hAnsi="Arial"/>
                <w:sz w:val="20"/>
              </w:rPr>
              <w:t>Fixed Amount Payer:</w:t>
            </w:r>
          </w:p>
        </w:tc>
        <w:tc>
          <w:tcPr>
            <w:tcW w:w="6401" w:type="dxa"/>
            <w:tcBorders/>
          </w:tcPr>
          <w:p>
            <w:pPr>
              <w:pStyle w:val="Normal"/>
              <w:spacing w:before="100" w:after="100"/>
              <w:jc w:val="both"/>
              <w:rPr>
                <w:rFonts w:ascii="Arial" w:hAnsi="Arial" w:cs="Arial"/>
                <w:sz w:val="20"/>
              </w:rPr>
            </w:pPr>
            <w:r>
              <w:rPr>
                <w:rFonts w:cs="Arial" w:ascii="Arial" w:hAnsi="Arial"/>
                <w:sz w:val="20"/>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53" w:type="dxa"/>
            <w:tcBorders/>
          </w:tcPr>
          <w:p>
            <w:pPr>
              <w:pStyle w:val="Normal"/>
              <w:spacing w:before="100" w:after="100"/>
              <w:jc w:val="both"/>
              <w:rPr>
                <w:rFonts w:ascii="Arial" w:hAnsi="Arial" w:cs="Arial"/>
                <w:sz w:val="20"/>
              </w:rPr>
            </w:pPr>
            <w:r>
              <w:rPr>
                <w:rFonts w:cs="Arial" w:ascii="Arial" w:hAnsi="Arial"/>
                <w:sz w:val="20"/>
              </w:rPr>
              <w:t>Floating Amount Payer:</w:t>
            </w:r>
          </w:p>
        </w:tc>
        <w:tc>
          <w:tcPr>
            <w:tcW w:w="6401" w:type="dxa"/>
            <w:tcBorders/>
          </w:tcPr>
          <w:p>
            <w:pPr>
              <w:pStyle w:val="Normal"/>
              <w:spacing w:before="100" w:after="100"/>
              <w:jc w:val="both"/>
              <w:rPr>
                <w:rFonts w:ascii="Arial" w:hAnsi="Arial" w:cs="Arial"/>
                <w:sz w:val="20"/>
              </w:rPr>
            </w:pPr>
            <w:r>
              <w:rPr>
                <w:rFonts w:cs="Arial" w:ascii="Arial" w:hAnsi="Arial"/>
                <w:sz w:val="20"/>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53" w:type="dxa"/>
            <w:tcBorders/>
          </w:tcPr>
          <w:p>
            <w:pPr>
              <w:pStyle w:val="Normal"/>
              <w:spacing w:before="100" w:after="100"/>
              <w:jc w:val="both"/>
              <w:rPr>
                <w:rFonts w:ascii="Arial" w:hAnsi="Arial" w:cs="Arial"/>
                <w:sz w:val="20"/>
              </w:rPr>
            </w:pPr>
            <w:r>
              <w:rPr>
                <w:rFonts w:cs="Arial" w:ascii="Arial" w:hAnsi="Arial"/>
                <w:sz w:val="20"/>
              </w:rPr>
              <w:t>Floating Amount:</w:t>
            </w:r>
          </w:p>
        </w:tc>
        <w:tc>
          <w:tcPr>
            <w:tcW w:w="6401" w:type="dxa"/>
            <w:tcBorders/>
          </w:tcPr>
          <w:p>
            <w:pPr>
              <w:pStyle w:val="Normal"/>
              <w:spacing w:before="100" w:after="100"/>
              <w:jc w:val="both"/>
              <w:rPr>
                <w:rFonts w:ascii="Arial" w:hAnsi="Arial" w:cs="Arial"/>
                <w:sz w:val="20"/>
              </w:rPr>
            </w:pPr>
            <w:r>
              <w:rPr>
                <w:rFonts w:cs="Arial" w:ascii="Arial" w:hAnsi="Arial"/>
                <w:sz w:val="20"/>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rFonts w:ascii="Arial" w:hAnsi="Arial" w:cs="Arial"/>
                <w:sz w:val="20"/>
              </w:rPr>
            </w:pPr>
            <w:r>
              <w:rPr>
                <w:rFonts w:cs="Arial" w:ascii="Arial" w:hAnsi="Arial"/>
                <w:sz w:val="20"/>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rFonts w:ascii="Arial" w:hAnsi="Arial" w:cs="Arial"/>
                <w:sz w:val="20"/>
              </w:rPr>
            </w:pPr>
            <w:r>
              <w:rPr>
                <w:rFonts w:cs="Arial" w:ascii="Arial" w:hAnsi="Arial"/>
                <w:sz w:val="20"/>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rFonts w:ascii="Arial" w:hAnsi="Arial" w:cs="Arial"/>
                <w:sz w:val="20"/>
              </w:rPr>
            </w:pPr>
            <w:r>
              <w:rPr>
                <w:rFonts w:cs="Arial" w:ascii="Arial" w:hAnsi="Arial"/>
                <w:sz w:val="20"/>
              </w:rPr>
              <w:t>The Reporting Agency shall be the National Climatic Data Center, a unit of the National Oceanic and Atmospheric Administration Center, or its successor organization, which reports temperature information by the NWS if the Reference Weather Station is in the United States, and (ii) the Reporting Service if the Reference Weather Station is in the United Kingdom, France or Norway.</w:t>
            </w:r>
          </w:p>
          <w:p>
            <w:pPr>
              <w:pStyle w:val="Normal"/>
              <w:spacing w:before="100" w:after="100"/>
              <w:jc w:val="both"/>
              <w:rPr>
                <w:rFonts w:ascii="Arial" w:hAnsi="Arial" w:cs="Arial"/>
                <w:sz w:val="20"/>
              </w:rPr>
            </w:pPr>
            <w:r>
              <w:rPr>
                <w:rFonts w:cs="Arial" w:ascii="Arial" w:hAnsi="Arial"/>
                <w:sz w:val="20"/>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53" w:type="dxa"/>
            <w:tcBorders/>
          </w:tcPr>
          <w:p>
            <w:pPr>
              <w:pStyle w:val="Normal"/>
              <w:spacing w:before="100" w:after="100"/>
              <w:jc w:val="both"/>
              <w:rPr>
                <w:rFonts w:ascii="Arial" w:hAnsi="Arial" w:cs="Arial"/>
                <w:sz w:val="20"/>
              </w:rPr>
            </w:pPr>
            <w:r>
              <w:rPr>
                <w:rFonts w:cs="Arial" w:ascii="Arial" w:hAnsi="Arial"/>
                <w:sz w:val="20"/>
              </w:rPr>
              <w:t>Fallback Reference Weather Station</w:t>
            </w:r>
          </w:p>
          <w:p>
            <w:pPr>
              <w:pStyle w:val="Normal"/>
              <w:spacing w:before="100" w:after="100"/>
              <w:jc w:val="both"/>
              <w:rPr>
                <w:rFonts w:ascii="Arial" w:hAnsi="Arial" w:cs="Arial"/>
                <w:sz w:val="20"/>
              </w:rPr>
            </w:pPr>
            <w:r>
              <w:rPr>
                <w:rFonts w:cs="Arial" w:ascii="Arial" w:hAnsi="Arial"/>
                <w:sz w:val="20"/>
              </w:rPr>
              <w:t>("FRWS"):</w:t>
            </w:r>
          </w:p>
        </w:tc>
        <w:tc>
          <w:tcPr>
            <w:tcW w:w="6401" w:type="dxa"/>
            <w:tcBorders/>
          </w:tcPr>
          <w:p>
            <w:pPr>
              <w:pStyle w:val="Normal"/>
              <w:spacing w:before="100" w:after="100"/>
              <w:jc w:val="both"/>
              <w:rPr>
                <w:rFonts w:ascii="Arial" w:hAnsi="Arial" w:cs="Arial"/>
                <w:sz w:val="20"/>
              </w:rPr>
            </w:pPr>
            <w:r>
              <w:rPr>
                <w:rFonts w:cs="Arial" w:ascii="Arial" w:hAnsi="Arial"/>
                <w:sz w:val="20"/>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rFonts w:ascii="Arial" w:hAnsi="Arial" w:cs="Arial"/>
                <w:sz w:val="20"/>
              </w:rPr>
            </w:pPr>
            <w:r>
              <w:rPr>
                <w:rFonts w:cs="Arial" w:ascii="Arial" w:hAnsi="Arial"/>
                <w:sz w:val="20"/>
              </w:rPr>
              <w:t>(i)</w:t>
              <w:tab/>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jc w:val="both"/>
              <w:rPr>
                <w:rFonts w:ascii="Arial" w:hAnsi="Arial" w:cs="Arial"/>
                <w:sz w:val="20"/>
              </w:rPr>
            </w:pPr>
            <w:r>
              <w:rPr>
                <w:rFonts w:cs="Arial" w:ascii="Arial" w:hAnsi="Arial"/>
                <w:sz w:val="20"/>
              </w:rPr>
              <w:t>(ii)</w:t>
              <w:tab/>
              <w:t>in accordance with the above procedures, the daily maximum or daily minimum temperature as appropriate shall be determined for the corresponding day of each of the previous 30 years at the Fallback Reference Weather Station or in the event such data is not available, from the closest geographical location that publishes Reporting Service data for that period 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jc w:val="both"/>
              <w:rPr>
                <w:rFonts w:ascii="Arial" w:hAnsi="Arial" w:cs="Arial"/>
                <w:sz w:val="20"/>
              </w:rPr>
            </w:pPr>
            <w:r>
              <w:rPr>
                <w:rFonts w:cs="Arial" w:ascii="Arial" w:hAnsi="Arial"/>
                <w:sz w:val="20"/>
              </w:rPr>
              <w:t>(iii)</w:t>
              <w:tab/>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jc w:val="both"/>
              <w:rPr>
                <w:rFonts w:ascii="Arial" w:hAnsi="Arial" w:cs="Arial"/>
                <w:sz w:val="20"/>
              </w:rPr>
            </w:pPr>
            <w:r>
              <w:rPr>
                <w:rFonts w:cs="Arial" w:ascii="Arial" w:hAnsi="Arial"/>
                <w:sz w:val="20"/>
              </w:rPr>
              <w:t>(iv)</w:t>
              <w:tab/>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spacing w:before="100" w:after="100"/>
              <w:jc w:val="both"/>
              <w:rPr>
                <w:rFonts w:ascii="Arial" w:hAnsi="Arial" w:cs="Arial"/>
                <w:sz w:val="20"/>
              </w:rPr>
            </w:pPr>
            <w:r>
              <w:rPr>
                <w:rFonts w:cs="Arial" w:ascii="Arial" w:hAnsi="Arial"/>
                <w:sz w:val="20"/>
              </w:rPr>
              <w:t>(v)</w:t>
              <w:tab/>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tc>
      </w:tr>
      <w:tr>
        <w:trPr/>
        <w:tc>
          <w:tcPr>
            <w:tcW w:w="3153" w:type="dxa"/>
            <w:tcBorders/>
          </w:tcPr>
          <w:p>
            <w:pPr>
              <w:pStyle w:val="Normal"/>
              <w:spacing w:before="100" w:after="100"/>
              <w:jc w:val="both"/>
              <w:rPr>
                <w:rFonts w:ascii="Arial" w:hAnsi="Arial" w:cs="Arial"/>
                <w:sz w:val="20"/>
              </w:rPr>
            </w:pPr>
            <w:r>
              <w:rPr>
                <w:rFonts w:cs="Arial" w:ascii="Arial" w:hAnsi="Arial"/>
                <w:sz w:val="20"/>
              </w:rPr>
              <w:t>Data Sources:</w:t>
            </w:r>
          </w:p>
        </w:tc>
        <w:tc>
          <w:tcPr>
            <w:tcW w:w="6401" w:type="dxa"/>
            <w:tcBorders/>
          </w:tcPr>
          <w:p>
            <w:pPr>
              <w:pStyle w:val="Normal"/>
              <w:spacing w:before="100" w:after="100"/>
              <w:jc w:val="both"/>
              <w:rPr/>
            </w:pPr>
            <w:r>
              <w:rPr>
                <w:rFonts w:cs="Arial" w:ascii="Arial" w:hAnsi="Arial"/>
                <w:sz w:val="20"/>
              </w:rPr>
              <w:t>(i)</w:t>
              <w:tab/>
              <w:t xml:space="preserve">If the Reference Weather Station is in the United States, the data used to determine the Floating Amount (and to the extent required, data for the FRWS) shall be obtained from the Reporting Agency’s official website located at </w:t>
            </w:r>
            <w:hyperlink r:id="rId2">
              <w:r>
                <w:rPr>
                  <w:rStyle w:val="Hyperlink"/>
                </w:rPr>
                <w:t>http://www.nndc.noaa.gov/cgi-bin/nndc/ph2_lcd_v2.cgi</w:t>
              </w:r>
            </w:hyperlink>
            <w:r>
              <w:rPr>
                <w:rFonts w:cs="Arial" w:ascii="Arial" w:hAnsi="Arial"/>
                <w:sz w:val="20"/>
              </w:rPr>
              <w:t xml:space="preserve">, or any successor thereto; provided, however, if data is not reported for any particular day at such website, then the data for such day shall be obtained from the website for the appropriate Regional Climate Data Center located at </w:t>
            </w:r>
            <w:hyperlink r:id="rId3">
              <w:r>
                <w:rPr>
                  <w:rStyle w:val="Hyperlink"/>
                </w:rPr>
                <w:t>http://www.nws.noaa.gov/regions.shtml</w:t>
              </w:r>
            </w:hyperlink>
            <w:r>
              <w:rPr>
                <w:rFonts w:cs="Arial" w:ascii="Arial" w:hAnsi="Arial"/>
                <w:sz w:val="20"/>
              </w:rPr>
              <w:t xml:space="preserve">,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w:t>
            </w:r>
            <w:hyperlink r:id="rId4">
              <w:r>
                <w:rPr>
                  <w:rStyle w:val="Hyperlink"/>
                </w:rPr>
                <w:t>http://www4.ncdc.noaa.gov/cgi-win/wwcgi.dll?WWNolos~Product~PB-078</w:t>
              </w:r>
            </w:hyperlink>
            <w:r>
              <w:rPr>
                <w:rFonts w:cs="Arial" w:ascii="Arial" w:hAnsi="Arial"/>
                <w:sz w:val="20"/>
              </w:rPr>
              <w:t>.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tc>
      </w:tr>
      <w:tr>
        <w:trPr/>
        <w:tc>
          <w:tcPr>
            <w:tcW w:w="3153" w:type="dxa"/>
            <w:tcBorders/>
          </w:tcPr>
          <w:p>
            <w:pPr>
              <w:pStyle w:val="Normal"/>
              <w:spacing w:before="100" w:after="100"/>
              <w:jc w:val="both"/>
              <w:rPr>
                <w:rFonts w:ascii="Arial" w:hAnsi="Arial" w:cs="Arial"/>
                <w:sz w:val="20"/>
              </w:rPr>
            </w:pPr>
            <w:r>
              <w:rPr>
                <w:rFonts w:cs="Arial" w:ascii="Arial" w:hAnsi="Arial"/>
                <w:sz w:val="20"/>
              </w:rPr>
              <w:t>Strike Amount Differential:</w:t>
            </w:r>
          </w:p>
        </w:tc>
        <w:tc>
          <w:tcPr>
            <w:tcW w:w="6401" w:type="dxa"/>
            <w:tcBorders/>
          </w:tcPr>
          <w:p>
            <w:pPr>
              <w:pStyle w:val="Normal"/>
              <w:spacing w:before="100" w:after="100"/>
              <w:jc w:val="both"/>
              <w:rPr>
                <w:rFonts w:ascii="Arial" w:hAnsi="Arial" w:cs="Arial"/>
                <w:sz w:val="20"/>
              </w:rPr>
            </w:pPr>
            <w:r>
              <w:rPr>
                <w:rFonts w:cs="Arial" w:ascii="Arial" w:hAnsi="Arial"/>
                <w:sz w:val="20"/>
              </w:rPr>
              <w:t>The amount equal to the difference between the (i) the Floating Amount minus (ii) the Strike Amount</w:t>
            </w:r>
          </w:p>
        </w:tc>
      </w:tr>
      <w:tr>
        <w:trPr/>
        <w:tc>
          <w:tcPr>
            <w:tcW w:w="3153" w:type="dxa"/>
            <w:tcBorders/>
          </w:tcPr>
          <w:p>
            <w:pPr>
              <w:pStyle w:val="Normal"/>
              <w:spacing w:before="100" w:after="100"/>
              <w:jc w:val="both"/>
              <w:rPr>
                <w:rFonts w:ascii="Arial" w:hAnsi="Arial" w:cs="Arial"/>
                <w:sz w:val="20"/>
              </w:rPr>
            </w:pPr>
            <w:r>
              <w:rPr>
                <w:rFonts w:cs="Arial" w:ascii="Arial" w:hAnsi="Arial"/>
                <w:sz w:val="20"/>
              </w:rPr>
              <w:t>Payment Amount:</w:t>
            </w:r>
          </w:p>
        </w:tc>
        <w:tc>
          <w:tcPr>
            <w:tcW w:w="6401" w:type="dxa"/>
            <w:tcBorders/>
          </w:tcPr>
          <w:p>
            <w:pPr>
              <w:pStyle w:val="Normal"/>
              <w:spacing w:before="100" w:after="100"/>
              <w:jc w:val="both"/>
              <w:rPr>
                <w:rFonts w:ascii="Arial" w:hAnsi="Arial" w:cs="Arial"/>
                <w:sz w:val="20"/>
              </w:rPr>
            </w:pPr>
            <w:r>
              <w:rPr>
                <w:rFonts w:cs="Arial" w:ascii="Arial" w:hAnsi="Arial"/>
                <w:sz w:val="20"/>
              </w:rPr>
              <w:t>Notwithstanding any provision of the Agreement to the contrary, if the Strike Amount Differential is a:</w:t>
            </w:r>
          </w:p>
          <w:p>
            <w:pPr>
              <w:pStyle w:val="Normal"/>
              <w:jc w:val="both"/>
              <w:rPr/>
            </w:pPr>
            <w:r>
              <w:rPr>
                <w:rFonts w:cs="Arial" w:ascii="Arial" w:hAnsi="Arial"/>
                <w:sz w:val="20"/>
              </w:rPr>
              <w:t>(i) positive number, the Floating Amount Payer shall pay the Fixed Amount Payer an amount in the Contractual Currency</w:t>
            </w:r>
            <w:r>
              <w:rPr>
                <w:rFonts w:cs="Arial" w:ascii="Arial" w:hAnsi="Arial"/>
                <w:color w:val="FF0000"/>
                <w:sz w:val="20"/>
              </w:rPr>
              <w:t xml:space="preserve"> </w:t>
            </w:r>
            <w:r>
              <w:rPr>
                <w:rFonts w:cs="Arial" w:ascii="Arial" w:hAnsi="Arial"/>
                <w:sz w:val="20"/>
              </w:rPr>
              <w:t xml:space="preserve">equal to the product of (i) the Notional Amount and (ii) the Strike Amount Differential, which amount shall be due and payable on the applicable Payment Date, </w:t>
            </w:r>
            <w:r>
              <w:rPr>
                <w:rFonts w:cs="Arial" w:ascii="Arial" w:hAnsi="Arial"/>
                <w:b/>
                <w:sz w:val="20"/>
              </w:rPr>
              <w:t>provided, however</w:t>
            </w:r>
            <w:r>
              <w:rPr>
                <w:rFonts w:cs="Arial" w:ascii="Arial" w:hAnsi="Arial"/>
                <w:sz w:val="20"/>
              </w:rPr>
              <w:t>, that the maximum amount payable by the Floating Amount Payer shall not exceed Maximum Payout Limit,</w:t>
            </w:r>
            <w:r>
              <w:rPr>
                <w:rFonts w:cs="Arial" w:ascii="Arial" w:hAnsi="Arial"/>
                <w:color w:val="FF0000"/>
                <w:sz w:val="20"/>
              </w:rPr>
              <w:t xml:space="preserve"> </w:t>
            </w:r>
            <w:r>
              <w:rPr>
                <w:rFonts w:cs="Arial" w:ascii="Arial" w:hAnsi="Arial"/>
                <w:sz w:val="20"/>
              </w:rPr>
              <w:t xml:space="preserve">or </w:t>
            </w:r>
          </w:p>
          <w:p>
            <w:pPr>
              <w:pStyle w:val="Normal"/>
              <w:spacing w:before="100" w:after="100"/>
              <w:jc w:val="both"/>
              <w:rPr/>
            </w:pPr>
            <w:r>
              <w:rPr>
                <w:rFonts w:cs="Arial" w:ascii="Arial" w:hAnsi="Arial"/>
                <w:sz w:val="20"/>
              </w:rPr>
              <w:t xml:space="preserve">(ii) negative number, the Fixed Amount Payer shall pay the Floating Amount Payer an absolute amount in the Contractual Currency equal to the product of (i) the Notional Amount and (ii) the Strike Amount Differential, which amount shall be due and payable on the applicable Payment Date, </w:t>
            </w:r>
            <w:r>
              <w:rPr>
                <w:rFonts w:cs="Arial" w:ascii="Arial" w:hAnsi="Arial"/>
                <w:b/>
                <w:sz w:val="20"/>
              </w:rPr>
              <w:t>provided, however</w:t>
            </w:r>
            <w:r>
              <w:rPr>
                <w:rFonts w:cs="Arial" w:ascii="Arial" w:hAnsi="Arial"/>
                <w:sz w:val="20"/>
              </w:rPr>
              <w:t>, that the maximum amount payable by the Fixed Amount Payer shall not exceed Maximum Payout Limit.</w:t>
            </w:r>
          </w:p>
        </w:tc>
      </w:tr>
    </w:tbl>
    <w:p>
      <w:pPr>
        <w:pStyle w:val="Normal"/>
        <w:jc w:val="both"/>
        <w:rPr>
          <w:rFonts w:ascii="Arial" w:hAnsi="Arial" w:cs="Arial"/>
          <w:sz w:val="20"/>
        </w:rPr>
      </w:pPr>
      <w:r>
        <w:rPr>
          <w:rFonts w:cs="Arial" w:ascii="Arial" w:hAnsi="Arial"/>
          <w:sz w:val="20"/>
        </w:rPr>
        <w:t> </w:t>
      </w:r>
    </w:p>
    <w:p>
      <w:pPr>
        <w:pStyle w:val="Normal"/>
        <w:jc w:val="both"/>
        <w:rPr/>
      </w:pPr>
      <w:r>
        <w:rPr>
          <w:rFonts w:cs="Arial" w:ascii="Arial" w:hAnsi="Arial"/>
          <w:sz w:val="20"/>
        </w:rPr>
        <w:t>3.</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rFonts w:ascii="Arial" w:hAnsi="Arial" w:cs="Arial"/>
          <w:sz w:val="20"/>
        </w:rPr>
      </w:pPr>
      <w:r>
        <w:rPr>
          <w:rFonts w:cs="Arial" w:ascii="Arial" w:hAnsi="Arial"/>
          <w:sz w:val="20"/>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Fonts w:cs="Arial" w:ascii="Arial" w:hAnsi="Arial"/>
          <w:sz w:val="20"/>
        </w:rPr>
        <w:t>4.</w:t>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(a) </w:t>
      </w:r>
      <w:r>
        <w:rPr>
          <w:rFonts w:cs="Arial" w:ascii="Arial" w:hAnsi="Arial"/>
          <w:sz w:val="20"/>
          <w:u w:val="single"/>
        </w:rPr>
        <w:t>Authority</w:t>
      </w:r>
      <w:r>
        <w:rPr>
          <w:rFonts w:cs="Arial" w:ascii="Arial" w:hAnsi="Arial"/>
          <w:sz w:val="20"/>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rFonts w:cs="Arial" w:ascii="Arial" w:hAnsi="Arial"/>
          <w:sz w:val="20"/>
          <w:u w:val="single"/>
        </w:rPr>
        <w:t>Eligible Swap Participant</w:t>
      </w:r>
      <w:r>
        <w:rPr>
          <w:rFonts w:cs="Arial" w:ascii="Arial" w:hAnsi="Arial"/>
          <w:sz w:val="20"/>
        </w:rPr>
        <w:t xml:space="preserve">: it constitutes an "eligible swap participant" as such term is defined in 17 C.F.R. Section 35.1(b)(2) and this Transaction constitutes a "swap agreement" within the meaning of 17 C.F.R. Section 35.1(b)(1); (c) </w:t>
      </w:r>
      <w:r>
        <w:rPr>
          <w:rFonts w:cs="Arial" w:ascii="Arial" w:hAnsi="Arial"/>
          <w:sz w:val="20"/>
          <w:u w:val="single"/>
        </w:rPr>
        <w:t>Line of Business</w:t>
      </w:r>
      <w:r>
        <w:rPr>
          <w:rFonts w:cs="Arial" w:ascii="Arial" w:hAnsi="Arial"/>
          <w:sz w:val="20"/>
        </w:rPr>
        <w:t xml:space="preserve">: as of the Trade Date it is: (i) exposed in the conduct of its business to the risk of variations in temperature of the kind reflected in this Transaction and (ii) entering into this Transaction solely to offset or manage that risk; and (d) </w:t>
      </w:r>
      <w:r>
        <w:rPr>
          <w:rFonts w:cs="Arial" w:ascii="Arial" w:hAnsi="Arial"/>
          <w:sz w:val="20"/>
          <w:u w:val="single"/>
        </w:rPr>
        <w:t>No Reliance and No Advisory Status</w:t>
      </w:r>
      <w:r>
        <w:rPr>
          <w:rFonts w:cs="Arial" w:ascii="Arial" w:hAnsi="Arial"/>
          <w:sz w:val="20"/>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5.</w:t>
        <w:tab/>
      </w:r>
      <w:r>
        <w:rPr>
          <w:rFonts w:cs="Arial" w:ascii="Arial" w:hAnsi="Arial"/>
          <w:b/>
          <w:sz w:val="20"/>
          <w:u w:val="single"/>
        </w:rPr>
        <w:t>Early Termination</w:t>
      </w:r>
      <w:r>
        <w:rPr>
          <w:rFonts w:cs="Arial" w:ascii="Arial" w:hAnsi="Arial"/>
          <w:b/>
          <w:sz w:val="20"/>
        </w:rPr>
        <w:t>.</w:t>
      </w:r>
      <w:r>
        <w:rPr>
          <w:rFonts w:cs="Arial" w:ascii="Arial" w:hAnsi="Arial"/>
          <w:sz w:val="20"/>
        </w:rPr>
        <w:t xml:space="preserve"> For purposes of Section 6(e) of the ISDA Agreement, the Second Method and Loss shall apply.</w:t>
      </w:r>
    </w:p>
    <w:p>
      <w:pPr>
        <w:pStyle w:val="Normal"/>
        <w:jc w:val="both"/>
        <w:rPr/>
      </w:pPr>
      <w:r>
        <w:rPr>
          <w:rFonts w:cs="Arial" w:ascii="Arial" w:hAnsi="Arial"/>
          <w:sz w:val="20"/>
        </w:rPr>
        <w:t>6.</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Fonts w:cs="Arial" w:ascii="Arial" w:hAnsi="Arial"/>
          <w:sz w:val="20"/>
        </w:rPr>
        <w:t>7.</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Fonts w:cs="Arial" w:ascii="Arial" w:hAnsi="Arial"/>
          <w:sz w:val="20"/>
        </w:rPr>
        <w:t>8.</w:t>
        <w:tab/>
      </w:r>
      <w:r>
        <w:rPr>
          <w:rFonts w:cs="Arial" w:ascii="Arial" w:hAnsi="Arial"/>
          <w:b/>
          <w:sz w:val="20"/>
          <w:u w:val="single"/>
        </w:rPr>
        <w:t>Calculation Agent</w:t>
      </w:r>
      <w:r>
        <w:rPr>
          <w:rFonts w:cs="Arial" w:ascii="Arial" w:hAnsi="Arial"/>
          <w:b/>
          <w:sz w:val="20"/>
        </w:rPr>
        <w:t>.</w:t>
      </w:r>
      <w:r>
        <w:rPr>
          <w:rFonts w:cs="Arial" w:ascii="Arial" w:hAnsi="Arial"/>
          <w:sz w:val="20"/>
        </w:rPr>
        <w:t xml:space="preserve"> The Calculation Agent shall be Enron.</w:t>
      </w:r>
    </w:p>
    <w:p>
      <w:pPr>
        <w:pStyle w:val="Normal"/>
        <w:jc w:val="both"/>
        <w:rPr/>
      </w:pPr>
      <w:r>
        <w:rPr>
          <w:rFonts w:cs="Arial" w:ascii="Arial" w:hAnsi="Arial"/>
          <w:sz w:val="20"/>
        </w:rPr>
        <w:t>9.</w:t>
        <w:tab/>
      </w:r>
      <w:r>
        <w:rPr>
          <w:rFonts w:cs="Arial" w:ascii="Arial" w:hAnsi="Arial"/>
          <w:b/>
          <w:sz w:val="20"/>
          <w:u w:val="single"/>
        </w:rPr>
        <w:t>Netting of Payments</w:t>
      </w:r>
      <w:r>
        <w:rPr>
          <w:rFonts w:cs="Arial" w:ascii="Arial" w:hAnsi="Arial"/>
          <w:b/>
          <w:sz w:val="20"/>
        </w:rPr>
        <w:t>.</w:t>
      </w:r>
      <w:r>
        <w:rPr>
          <w:rFonts w:cs="Arial" w:ascii="Arial" w:hAnsi="Arial"/>
          <w:sz w:val="20"/>
        </w:rPr>
        <w:t xml:space="preserve"> Section 2(c)(ii) of the ISDA Agreement will not apply to all Transactions.</w:t>
      </w:r>
    </w:p>
    <w:p>
      <w:pPr>
        <w:pStyle w:val="Normal"/>
        <w:jc w:val="both"/>
        <w:rPr/>
      </w:pPr>
      <w:r>
        <w:rPr>
          <w:rFonts w:cs="Arial" w:ascii="Arial" w:hAnsi="Arial"/>
          <w:sz w:val="20"/>
        </w:rPr>
        <w:t>10.</w:t>
        <w:tab/>
      </w:r>
      <w:r>
        <w:rPr>
          <w:rFonts w:cs="Arial" w:ascii="Arial" w:hAnsi="Arial"/>
          <w:b/>
          <w:sz w:val="20"/>
          <w:u w:val="single"/>
        </w:rPr>
        <w:t>Limitation of Liability</w:t>
      </w:r>
      <w:r>
        <w:rPr>
          <w:rFonts w:cs="Arial" w:ascii="Arial" w:hAnsi="Arial"/>
          <w:b/>
          <w:sz w:val="20"/>
        </w:rPr>
        <w:t>.</w:t>
      </w:r>
      <w:r>
        <w:rPr>
          <w:rFonts w:cs="Arial" w:ascii="Arial" w:hAnsi="Arial"/>
          <w:sz w:val="20"/>
        </w:rPr>
        <w:t xml:space="preserve">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pPr>
      <w:r>
        <w:rPr>
          <w:rFonts w:cs="Arial" w:ascii="Arial" w:hAnsi="Arial"/>
          <w:sz w:val="20"/>
        </w:rPr>
        <w:t>11.</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12.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spacing w:before="100" w:after="100"/>
        <w:jc w:val="both"/>
        <w:rPr/>
      </w:pPr>
      <w:r>
        <w:rPr>
          <w:rFonts w:cs="Arial" w:ascii="Arial" w:hAnsi="Arial"/>
          <w:sz w:val="20"/>
        </w:rPr>
        <w:t>13.</w:t>
        <w:tab/>
      </w:r>
      <w:r>
        <w:rPr>
          <w:rFonts w:cs="Arial" w:ascii="Arial" w:hAnsi="Arial"/>
          <w:b/>
          <w:sz w:val="20"/>
          <w:u w:val="single"/>
        </w:rPr>
        <w:t>Collateral Arrangements.</w:t>
      </w:r>
      <w:r>
        <w:rPr>
          <w:rFonts w:cs="Arial" w:ascii="Arial" w:hAnsi="Arial"/>
          <w:sz w:val="20"/>
        </w:rPr>
        <w:t xml:space="preserve">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ndc.noaa.gov/cgi-bin/nndc/ph2_lcd_v2.cgi" TargetMode="External"/><Relationship Id="rId3" Type="http://schemas.openxmlformats.org/officeDocument/2006/relationships/hyperlink" Target="http://www.nws.noaa.gov/regions.shtml" TargetMode="External"/><Relationship Id="rId4" Type="http://schemas.openxmlformats.org/officeDocument/2006/relationships/hyperlink" Target="http://www4.ncdc.noaa.gov/cgi-win/wwcgi.dll?WWNolos~Product~PB-078"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2001-03-15T12:50:00Z</dcterms:created>
  <dc:creator>mlozano</dc:creator>
  <dc:description/>
  <dc:language>en-CA</dc:language>
  <cp:lastModifiedBy>sshackl</cp:lastModifiedBy>
  <dcterms:modified xsi:type="dcterms:W3CDTF">2001-03-15T12:56:00Z</dcterms:modified>
  <cp:revision>4</cp:revision>
  <dc:subject/>
  <dc:title>CDD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