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p>
            <w:pPr>
              <w:pStyle w:val="Normal"/>
              <w:tabs>
                <w:tab w:val="clear" w:pos="720"/>
                <w:tab w:val="left" w:pos="2412" w:leader="none"/>
              </w:tabs>
              <w:ind w:start="1962" w:end="0"/>
              <w:rPr>
                <w:sz w:val="22"/>
              </w:rPr>
            </w:pPr>
            <w:r>
              <w:rPr>
                <w:sz w:val="22"/>
              </w:rPr>
            </w:r>
          </w:p>
          <w:p>
            <w:pPr>
              <w:pStyle w:val="Normal"/>
              <w:jc w:val="center"/>
              <w:rPr>
                <w:b/>
                <w:sz w:val="22"/>
              </w:rPr>
            </w:pPr>
            <w:r>
              <w:rPr>
                <w:b/>
                <w:sz w:val="22"/>
              </w:rPr>
            </w:r>
          </w:p>
          <w:p>
            <w:pPr>
              <w:pStyle w:val="Normal"/>
              <w:jc w:val="center"/>
              <w:rPr>
                <w:b/>
                <w:sz w:val="22"/>
              </w:rPr>
            </w:pPr>
            <w:r>
              <w:rPr>
                <w:b/>
                <w:sz w:val="22"/>
              </w:rPr>
              <w:t>This Revised Confirmation supersedes and replaces all prior Confirmations relating to the subject matter hereof, including the Confirmation dated as of May 12, 2000 made and entered into between the parties hereto.</w:t>
            </w:r>
          </w:p>
          <w:p>
            <w:pPr>
              <w:pStyle w:val="Normal"/>
              <w:rPr>
                <w:b/>
                <w:sz w:val="22"/>
              </w:rPr>
            </w:pPr>
            <w:r>
              <w:rPr>
                <w:b/>
                <w:sz w:val="22"/>
              </w:rPr>
            </w:r>
          </w:p>
          <w:p>
            <w:pPr>
              <w:pStyle w:val="Normal"/>
              <w:jc w:val="center"/>
              <w:rPr>
                <w:b/>
                <w:sz w:val="22"/>
              </w:rPr>
            </w:pPr>
            <w:r>
              <w:rPr>
                <w:b/>
                <w:sz w:val="22"/>
              </w:rPr>
              <w:t>Revision to Counterparty name</w:t>
            </w:r>
          </w:p>
          <w:p>
            <w:pPr>
              <w:pStyle w:val="Normal"/>
              <w:tabs>
                <w:tab w:val="clear" w:pos="720"/>
                <w:tab w:val="left" w:pos="2412" w:leader="none"/>
              </w:tabs>
              <w:ind w:start="1962" w:end="0"/>
              <w:jc w:val="center"/>
              <w:rPr>
                <w:b/>
                <w:sz w:val="22"/>
              </w:rPr>
            </w:pPr>
            <w:r>
              <w:rPr>
                <w:b/>
                <w:sz w:val="22"/>
              </w:rPr>
            </w:r>
          </w:p>
        </w:tc>
      </w:tr>
    </w:tbl>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w:t>
      </w:r>
    </w:p>
    <w:p>
      <w:pPr>
        <w:pStyle w:val="Normal"/>
        <w:tabs>
          <w:tab w:val="clear" w:pos="720"/>
          <w:tab w:val="left" w:pos="6480" w:leader="none"/>
        </w:tabs>
        <w:rPr>
          <w:b/>
          <w:sz w:val="22"/>
        </w:rPr>
      </w:pPr>
      <w:r>
        <w:rPr>
          <w:b/>
          <w:sz w:val="22"/>
        </w:rPr>
      </w:r>
    </w:p>
    <w:p>
      <w:pPr>
        <w:pStyle w:val="Normal"/>
        <w:tabs>
          <w:tab w:val="left" w:pos="720" w:leader="none"/>
          <w:tab w:val="left" w:pos="3240" w:leader="none"/>
        </w:tabs>
        <w:ind w:start="720" w:end="0"/>
        <w:rPr>
          <w:sz w:val="22"/>
        </w:rPr>
      </w:pPr>
      <w:r>
        <w:rPr>
          <w:sz w:val="22"/>
        </w:rPr>
        <w:t>Date:</w:t>
        <w:tab/>
        <w:t>October 25, 2000</w:t>
      </w:r>
    </w:p>
    <w:p>
      <w:pPr>
        <w:pStyle w:val="Normal"/>
        <w:tabs>
          <w:tab w:val="clear" w:pos="720"/>
          <w:tab w:val="left" w:pos="3240" w:leader="none"/>
          <w:tab w:val="left" w:pos="6480" w:leader="none"/>
        </w:tabs>
        <w:ind w:start="720" w:end="0"/>
        <w:rPr>
          <w:sz w:val="22"/>
        </w:rPr>
      </w:pPr>
      <w:r>
        <w:rPr>
          <w:sz w:val="22"/>
        </w:rPr>
        <w:t>To:</w:t>
        <w:tab/>
        <w:t>Paperboard Industries Corporation ("Counterparty")</w:t>
      </w:r>
    </w:p>
    <w:p>
      <w:pPr>
        <w:pStyle w:val="Normal"/>
        <w:tabs>
          <w:tab w:val="clear" w:pos="720"/>
          <w:tab w:val="left" w:pos="3240" w:leader="none"/>
          <w:tab w:val="left" w:pos="6480" w:leader="none"/>
        </w:tabs>
        <w:ind w:start="720" w:end="0"/>
        <w:rPr>
          <w:sz w:val="22"/>
        </w:rPr>
      </w:pPr>
      <w:r>
        <w:rPr>
          <w:sz w:val="22"/>
        </w:rPr>
        <w:t>Attention:</w:t>
        <w:tab/>
        <w:t>Richard Bourque</w:t>
      </w:r>
    </w:p>
    <w:p>
      <w:pPr>
        <w:pStyle w:val="Normal"/>
        <w:tabs>
          <w:tab w:val="clear" w:pos="720"/>
          <w:tab w:val="left" w:pos="3240" w:leader="none"/>
          <w:tab w:val="left" w:pos="6480" w:leader="none"/>
        </w:tabs>
        <w:ind w:start="720" w:end="0"/>
        <w:rPr>
          <w:sz w:val="22"/>
        </w:rPr>
      </w:pPr>
      <w:r>
        <w:rPr>
          <w:sz w:val="22"/>
        </w:rPr>
        <w:t>Phone No.:</w:t>
        <w:tab/>
        <w:t>(514) 284-9830</w:t>
      </w:r>
    </w:p>
    <w:p>
      <w:pPr>
        <w:pStyle w:val="Normal"/>
        <w:tabs>
          <w:tab w:val="clear" w:pos="720"/>
          <w:tab w:val="left" w:pos="3240" w:leader="none"/>
          <w:tab w:val="left" w:pos="6480" w:leader="none"/>
        </w:tabs>
        <w:ind w:start="720" w:end="0"/>
        <w:rPr>
          <w:sz w:val="22"/>
        </w:rPr>
      </w:pPr>
      <w:r>
        <w:rPr>
          <w:sz w:val="22"/>
        </w:rPr>
        <w:t>Fax No.:</w:t>
        <w:tab/>
        <w:t>(514) 289-1949</w:t>
      </w:r>
    </w:p>
    <w:p>
      <w:pPr>
        <w:pStyle w:val="Normal"/>
        <w:tabs>
          <w:tab w:val="clear" w:pos="720"/>
          <w:tab w:val="left" w:pos="3240" w:leader="none"/>
          <w:tab w:val="left" w:pos="6480" w:leader="none"/>
        </w:tabs>
        <w:ind w:start="720" w:end="0"/>
        <w:rPr>
          <w:sz w:val="22"/>
        </w:rPr>
      </w:pPr>
      <w:r>
        <w:rPr>
          <w:sz w:val="22"/>
        </w:rPr>
        <w:t>From:</w:t>
        <w:tab/>
        <w:t xml:space="preserve">Enron North America Corp.   (“ENA”) </w:t>
      </w:r>
    </w:p>
    <w:p>
      <w:pPr>
        <w:pStyle w:val="Normal"/>
        <w:tabs>
          <w:tab w:val="clear" w:pos="720"/>
          <w:tab w:val="left" w:pos="3240" w:leader="none"/>
          <w:tab w:val="left" w:pos="6480" w:leader="none"/>
        </w:tabs>
        <w:ind w:start="720" w:end="0"/>
        <w:rPr>
          <w:sz w:val="22"/>
        </w:rPr>
      </w:pPr>
      <w:r>
        <w:rPr>
          <w:sz w:val="22"/>
        </w:rPr>
        <w:t>Re:</w:t>
        <w:tab/>
        <w:t>Commodity Swap Deal No. NH9975.1</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clear" w:pos="90"/>
          <w:tab w:val="clear" w:pos="6480"/>
          <w:tab w:val="left" w:pos="0" w:leader="none"/>
          <w:tab w:val="left" w:pos="2160" w:leader="none"/>
          <w:tab w:val="left" w:pos="4140" w:leader="none"/>
        </w:tabs>
        <w:rPr>
          <w:sz w:val="22"/>
        </w:rPr>
      </w:pPr>
      <w:r>
        <w:rPr>
          <w:sz w:val="22"/>
        </w:rPr>
        <w:tab/>
        <w:t>Total Notional Quantity:</w:t>
        <w:tab/>
        <w:t>9,000 Metric Tons</w:t>
      </w:r>
    </w:p>
    <w:p>
      <w:pPr>
        <w:pStyle w:val="BodyTextIndent"/>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per Determination Period:</w:t>
        <w:tab/>
        <w:t>250 Metric Tons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w:t>
        <w:tab/>
        <w:tab/>
        <w:t>Northern Bleached Softwood Kraft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 Unit:</w:t>
        <w:tab/>
        <w:tab/>
        <w:t>Metric Ton</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Trade Date:</w:t>
        <w:tab/>
        <w:tab/>
        <w:t>May 12, 2000</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Effective Date:</w:t>
        <w:tab/>
        <w:tab/>
        <w:t>June 1, 2000</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Termination Date:</w:t>
        <w:tab/>
        <w:tab/>
        <w:t>May 31, 2003</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sz w:val="22"/>
        </w:rPr>
      </w:pPr>
      <w:r>
        <w:rPr>
          <w:sz w:val="22"/>
        </w:rPr>
        <w:tab/>
        <w:t>Determination Period(s):</w:t>
        <w:tab/>
      </w:r>
      <w:r>
        <w:rPr>
          <w:color w:val="000000"/>
          <w:sz w:val="22"/>
        </w:rPr>
        <w:t>Monthly periods, with the first Determination Period commencing on June 1, 2000 and the final Determination Period ending on May 31, 2003</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680" w:start="4140" w:end="0"/>
        <w:rPr/>
      </w:pPr>
      <w:r>
        <w:rPr>
          <w:sz w:val="22"/>
        </w:rPr>
        <w:tab/>
        <w:t>Payment Date(s):</w:t>
        <w:tab/>
        <w:tab/>
        <w:t>The fifth (5</w:t>
      </w:r>
      <w:r>
        <w:rPr>
          <w:sz w:val="22"/>
          <w:vertAlign w:val="superscript"/>
        </w:rPr>
        <w:t>th</w:t>
      </w:r>
      <w:r>
        <w:rPr>
          <w:sz w:val="22"/>
        </w:rPr>
        <w:t>) Business Day following the last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 Payor:</w:t>
        <w:tab/>
        <w:tab/>
        <w:t>Counterparty</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w:t>
        <w:tab/>
        <w:tab/>
        <w:t>U.S. $720.00 per Metric Ton</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Floating Amount Details:</w:t>
      </w:r>
      <w:r>
        <w:rPr>
          <w:sz w:val="22"/>
        </w:rPr>
        <w:tab/>
        <w:tab/>
        <w:t xml:space="preserve">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t>Floating Price:</w:t>
        <w:tab/>
        <w:tab/>
        <w:t xml:space="preserve">The Floating Price for each Determination Period shall be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the </w:t>
      </w:r>
      <w:r>
        <w:rPr>
          <w:sz w:val="22"/>
          <w:u w:val="single"/>
        </w:rPr>
        <w:t>World Pulp Monthly</w:t>
      </w:r>
      <w:r>
        <w:rPr>
          <w:sz w:val="22"/>
        </w:rPr>
        <w:t xml:space="preserve"> that reports prices effective on the Pricing Date for such Determination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t>Pricing Date(s):</w:t>
        <w:tab/>
        <w:tab/>
        <w:t xml:space="preserve">Date of publication of the </w:t>
      </w:r>
      <w:r>
        <w:rPr>
          <w:sz w:val="22"/>
          <w:u w:val="single"/>
        </w:rPr>
        <w:t>World Pulp Monthly</w:t>
      </w:r>
      <w:r>
        <w:rPr>
          <w:sz w:val="22"/>
        </w:rPr>
        <w:t>, or any successor publication, published by Resource Information Systems, Inc. or its successor (such publication, the “</w:t>
      </w:r>
      <w:r>
        <w:rPr>
          <w:sz w:val="22"/>
          <w:u w:val="single"/>
        </w:rPr>
        <w:t>World Pulp Monthly</w:t>
      </w:r>
      <w:r>
        <w:rPr>
          <w:sz w:val="22"/>
        </w:rPr>
        <w:t>”) for the applicable Determination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t>Alternative Floating Price Source:</w:t>
        <w:tab/>
      </w:r>
      <w:r>
        <w:rPr>
          <w:color w:val="000000"/>
          <w:sz w:val="22"/>
        </w:rPr>
        <w:t xml:space="preserve">The </w:t>
      </w:r>
      <w:r>
        <w:rPr>
          <w:sz w:val="22"/>
        </w:rPr>
        <w:t>Alternative Floating Price Source</w:t>
      </w:r>
      <w:r>
        <w:rPr>
          <w:color w:val="000000"/>
          <w:sz w:val="22"/>
        </w:rPr>
        <w:t xml:space="preserve"> for any Determination Period shall be the issue</w:t>
      </w:r>
      <w:r>
        <w:rPr>
          <w:sz w:val="22"/>
        </w:rPr>
        <w:t xml:space="preserve"> of </w:t>
      </w:r>
      <w:r>
        <w:rPr>
          <w:color w:val="FF0000"/>
          <w:sz w:val="22"/>
          <w:u w:val="single"/>
        </w:rPr>
        <w:t>Pulp &amp; Paper Week</w:t>
      </w:r>
      <w:r>
        <w:rPr>
          <w:color w:val="000000"/>
          <w:sz w:val="22"/>
          <w:u w:val="single"/>
        </w:rPr>
        <w:t>,</w:t>
      </w:r>
      <w:r>
        <w:rPr>
          <w:color w:val="000000"/>
          <w:sz w:val="22"/>
        </w:rPr>
        <w:t xml:space="preserve"> or its successor publication, as published by </w:t>
      </w:r>
      <w:r>
        <w:rPr>
          <w:color w:val="FF0000"/>
          <w:sz w:val="22"/>
        </w:rPr>
        <w:t>Miller Freeman Inc</w:t>
      </w:r>
      <w:r>
        <w:rPr>
          <w:color w:val="000000"/>
          <w:sz w:val="22"/>
        </w:rPr>
        <w:t>.  (</w:t>
      </w:r>
      <w:r>
        <w:rPr>
          <w:sz w:val="22"/>
        </w:rPr>
        <w:t>or its successor) that reports prices effective for such Determination Period. The</w:t>
      </w:r>
      <w:r>
        <w:rPr>
          <w:color w:val="000000"/>
          <w:sz w:val="22"/>
        </w:rPr>
        <w:t xml:space="preserve"> Floating Price for such </w:t>
      </w:r>
      <w:r>
        <w:rPr>
          <w:sz w:val="22"/>
        </w:rPr>
        <w:t>Determination</w:t>
      </w:r>
      <w:r>
        <w:rPr>
          <w:color w:val="000000"/>
          <w:sz w:val="22"/>
        </w:rPr>
        <w:t xml:space="preserve"> Period </w:t>
      </w:r>
      <w:r>
        <w:rPr>
          <w:sz w:val="22"/>
        </w:rPr>
        <w:t xml:space="preserve">(as determined by reference to the Alternative Floating Price Source) </w:t>
      </w:r>
      <w:r>
        <w:rPr>
          <w:color w:val="000000"/>
          <w:sz w:val="22"/>
        </w:rPr>
        <w:t xml:space="preserve">shall be an amount equal to the sum of (a) the average of the high and low price per </w:t>
      </w:r>
      <w:r>
        <w:rPr>
          <w:color w:val="FF0000"/>
          <w:sz w:val="22"/>
        </w:rPr>
        <w:t>Metric Ton</w:t>
      </w:r>
      <w:r>
        <w:rPr>
          <w:sz w:val="22"/>
        </w:rPr>
        <w:t xml:space="preserve"> of </w:t>
      </w:r>
      <w:r>
        <w:rPr>
          <w:color w:val="FF0000"/>
          <w:sz w:val="22"/>
        </w:rPr>
        <w:t>Northern Bleached Softwood Kraft</w:t>
      </w:r>
      <w:r>
        <w:rPr>
          <w:color w:val="000000"/>
          <w:sz w:val="22"/>
        </w:rPr>
        <w:t xml:space="preserve">, published under the headings “Price Watch: Market Pulp: Grade: U.S. (delivered in East): Bleached softwood kraft: Northern (Canadian):” </w:t>
      </w:r>
      <w:r>
        <w:rPr>
          <w:sz w:val="22"/>
        </w:rPr>
        <w:t xml:space="preserve">and (b) an amount (which may be negative) equal to the difference between (i) the mean of the average of the prices per </w:t>
      </w:r>
      <w:r>
        <w:rPr>
          <w:color w:val="FF0000"/>
          <w:sz w:val="22"/>
        </w:rPr>
        <w:t>Metric Ton</w:t>
      </w:r>
      <w:r>
        <w:rPr>
          <w:sz w:val="22"/>
        </w:rPr>
        <w:t xml:space="preserve"> of </w:t>
      </w:r>
      <w:r>
        <w:rPr>
          <w:color w:val="FF0000"/>
          <w:sz w:val="22"/>
        </w:rPr>
        <w:t>Northern Bleached Softwood Kraft</w:t>
      </w:r>
      <w:r>
        <w:rPr>
          <w:color w:val="000000"/>
          <w:sz w:val="22"/>
        </w:rPr>
        <w:t xml:space="preserve"> </w:t>
      </w:r>
      <w:r>
        <w:rPr>
          <w:sz w:val="22"/>
        </w:rPr>
        <w:t xml:space="preserve">as determined in accordance with the definition of “Floating Price” above for each month in which such price is available for the twelve calendar months immediately preceding the relevant Determination Period and (ii) the average of the prices per </w:t>
      </w:r>
      <w:r>
        <w:rPr>
          <w:color w:val="FF0000"/>
          <w:sz w:val="22"/>
        </w:rPr>
        <w:t>Metric Ton</w:t>
      </w:r>
      <w:r>
        <w:rPr>
          <w:sz w:val="22"/>
        </w:rPr>
        <w:t xml:space="preserve"> of </w:t>
      </w:r>
      <w:r>
        <w:rPr>
          <w:color w:val="FF0000"/>
          <w:sz w:val="22"/>
        </w:rPr>
        <w:t>Northern Bleached Softwood Kraft</w:t>
      </w:r>
      <w:r>
        <w:rPr>
          <w:sz w:val="22"/>
        </w:rPr>
        <w:t xml:space="preserve"> as determined in accordance with subsection (a) above for each month in which such price is available for the twelve calendar months immediately preceding the relevant Determination Period</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Contractual Currency:</w:t>
      </w:r>
      <w:r>
        <w:rPr>
          <w:sz w:val="22"/>
        </w:rPr>
        <w:tab/>
        <w:tab/>
        <w:t>U.S.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Governing Law:</w:t>
      </w:r>
      <w:r>
        <w:rPr>
          <w:sz w:val="22"/>
        </w:rPr>
        <w:tab/>
        <w:tab/>
        <w:t>Texas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6480" w:leader="none"/>
        </w:tabs>
        <w:ind w:hanging="4860" w:start="4140" w:end="0"/>
        <w:rPr/>
      </w:pPr>
      <w:r>
        <w:rPr>
          <w:b/>
          <w:sz w:val="22"/>
        </w:rPr>
        <w:t>of Confirmations:</w:t>
        <w:tab/>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4320" w:leader="none"/>
          <w:tab w:val="left" w:pos="6480" w:leader="none"/>
        </w:tabs>
        <w:ind w:hanging="5040" w:start="4320" w:end="0"/>
        <w:rPr>
          <w:b/>
          <w:sz w:val="22"/>
        </w:rPr>
      </w:pPr>
      <w:r>
        <w:rPr>
          <w:b/>
          <w:sz w:val="22"/>
        </w:rPr>
      </w:r>
    </w:p>
    <w:p>
      <w:pPr>
        <w:pStyle w:val="BodyTextIndent"/>
        <w:tabs>
          <w:tab w:val="left" w:pos="90" w:leader="none"/>
          <w:tab w:val="left" w:pos="2160" w:leader="none"/>
          <w:tab w:val="left" w:pos="4140" w:leader="none"/>
          <w:tab w:val="left" w:pos="6480" w:leader="none"/>
        </w:tabs>
        <w:ind w:hanging="4860" w:start="4140" w:end="0"/>
        <w:rPr>
          <w:b/>
          <w:sz w:val="22"/>
        </w:rPr>
      </w:pPr>
      <w:r>
        <w:rPr>
          <w:b/>
          <w:sz w:val="22"/>
        </w:rPr>
        <w:t>Credit or Other Special Provisions:</w:t>
      </w:r>
      <w:r>
        <w:rPr>
          <w:sz w:val="22"/>
        </w:rPr>
        <w:tab/>
        <w:t>The credit provisions contained in Annex B attached hereto and made a part hereof apply and are incorporated herein by reference</w:t>
      </w:r>
    </w:p>
    <w:p>
      <w:pPr>
        <w:pStyle w:val="BodyTextIndent"/>
        <w:tabs>
          <w:tab w:val="left" w:pos="90" w:leader="none"/>
          <w:tab w:val="left" w:pos="810" w:leader="none"/>
          <w:tab w:val="left" w:pos="2160" w:leader="none"/>
          <w:tab w:val="left" w:pos="432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Paperboard Industries Corporation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By: _________________________</w:t>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Date: ________________________</w:t>
        <w:tab/>
        <w:t>Date:  _______________________</w:t>
      </w:r>
      <w:r>
        <w:br w:type="page"/>
      </w:r>
    </w:p>
    <w:p>
      <w:pPr>
        <w:pStyle w:val="Normal"/>
        <w:rPr>
          <w:sz w:val="22"/>
        </w:rPr>
      </w:pPr>
      <w:r>
        <w:rPr>
          <w:sz w:val="22"/>
        </w:rPr>
      </w:r>
    </w:p>
    <w:p>
      <w:pPr>
        <w:pStyle w:val="Normal"/>
        <w:rPr>
          <w:sz w:val="22"/>
        </w:rPr>
      </w:pPr>
      <w:r>
        <w:rPr>
          <w:sz w:val="22"/>
        </w:rPr>
      </w:r>
    </w:p>
    <w:p>
      <w:pPr>
        <w:pStyle w:val="Normal"/>
        <w:ind w:start="-720" w:end="0"/>
        <w:rPr>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646-8898</w:t>
      </w:r>
      <w:r>
        <w:rPr>
          <w:sz w:val="22"/>
          <w:b/>
        </w:rPr>
        <w:fldChar w:fldCharType="end"/>
      </w:r>
    </w:p>
    <w:p>
      <w:pPr>
        <w:pStyle w:val="Normal"/>
        <w:rPr>
          <w:sz w:val="22"/>
        </w:rPr>
      </w:pPr>
      <w:r>
        <w:rPr>
          <w:sz w:val="22"/>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sz w:val="22"/>
              </w:rPr>
            </w:pPr>
            <w:r>
              <w:rPr>
                <w:b/>
                <w:sz w:val="22"/>
              </w:rPr>
              <w:t>Address for Notices to ENA:</w:t>
            </w:r>
          </w:p>
        </w:tc>
        <w:tc>
          <w:tcPr>
            <w:tcW w:w="4590" w:type="dxa"/>
            <w:tcBorders/>
          </w:tcPr>
          <w:p>
            <w:pPr>
              <w:pStyle w:val="Normal"/>
              <w:rPr>
                <w:sz w:val="22"/>
              </w:rPr>
            </w:pPr>
            <w:r>
              <w:rPr>
                <w:b/>
                <w:sz w:val="22"/>
              </w:rPr>
              <w:t>Payment Account Information for ENA:</w:t>
            </w:r>
          </w:p>
        </w:tc>
      </w:tr>
      <w:tr>
        <w:trPr/>
        <w:tc>
          <w:tcPr>
            <w:tcW w:w="4860" w:type="dxa"/>
            <w:tcBorders/>
          </w:tcPr>
          <w:p>
            <w:pPr>
              <w:pStyle w:val="Normal"/>
              <w:snapToGrid w:val="false"/>
              <w:rPr>
                <w:sz w:val="22"/>
              </w:rPr>
            </w:pPr>
            <w:r>
              <w:rPr>
                <w:sz w:val="22"/>
              </w:rPr>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590"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4860"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590"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860" w:type="dxa"/>
            <w:tcBorders/>
          </w:tcPr>
          <w:p>
            <w:pPr>
              <w:pStyle w:val="Normal"/>
              <w:rPr>
                <w:sz w:val="22"/>
              </w:rPr>
            </w:pPr>
            <w:r>
              <w:rPr>
                <w:sz w:val="22"/>
              </w:rPr>
              <w:t>Attention: Director, Documentation Dept</w:t>
            </w:r>
          </w:p>
        </w:tc>
        <w:tc>
          <w:tcPr>
            <w:tcW w:w="4590"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4860"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590" w:type="dxa"/>
            <w:tcBorders/>
          </w:tcPr>
          <w:p>
            <w:pPr>
              <w:pStyle w:val="Normal"/>
              <w:snapToGrid w:val="false"/>
              <w:rPr>
                <w:sz w:val="22"/>
              </w:rPr>
            </w:pPr>
            <w:r>
              <w:rPr>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 xml:space="preserve"> </w:t>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u w:val="single"/>
              </w:rPr>
              <w:t>Payment Account Information for</w:t>
            </w:r>
            <w:r>
              <w:rPr>
                <w:b/>
                <w:sz w:val="22"/>
                <w:u w:val="single"/>
              </w:rPr>
              <w:t xml:space="preserve"> </w:t>
            </w:r>
            <w:r>
              <w:rPr>
                <w:b/>
                <w:u w:val="single"/>
              </w:rPr>
              <w:t>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OCCURRED</w:t>
      </w:r>
    </w:p>
    <w:p>
      <w:pPr>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ind w:end="-36"/>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Deal No. NH9975.1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2000-10-25T13:00:00Z</dcterms:created>
  <dc:creator>wende warren</dc:creator>
  <dc:description/>
  <dc:language>en-CA</dc:language>
  <cp:lastModifiedBy>Tiffany Williams</cp:lastModifiedBy>
  <cp:lastPrinted>1998-10-30T13:24:00Z</cp:lastPrinted>
  <dcterms:modified xsi:type="dcterms:W3CDTF">2000-10-25T13:04:00Z</dcterms:modified>
  <cp:revision>3</cp:revision>
  <dc:subject/>
  <dc:title/>
</cp:coreProperties>
</file>