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540" w:type="dxa"/>
        <w:jc w:val="start"/>
        <w:tblInd w:w="-432" w:type="dxa"/>
        <w:tblLayout w:type="fixed"/>
        <w:tblCellMar>
          <w:top w:w="0" w:type="dxa"/>
          <w:start w:w="108" w:type="dxa"/>
          <w:bottom w:w="0" w:type="dxa"/>
          <w:end w:w="108" w:type="dxa"/>
        </w:tblCellMar>
      </w:tblPr>
      <w:tblGrid>
        <w:gridCol w:w="1080"/>
        <w:gridCol w:w="1350"/>
        <w:gridCol w:w="1440"/>
        <w:gridCol w:w="2790"/>
        <w:gridCol w:w="1620"/>
        <w:gridCol w:w="2700"/>
        <w:gridCol w:w="4050"/>
        <w:gridCol w:w="3510"/>
      </w:tblGrid>
      <w:tr>
        <w:trPr/>
        <w:tc>
          <w:tcPr>
            <w:tcW w:w="18540" w:type="dxa"/>
            <w:gridSpan w:val="8"/>
            <w:tcBorders>
              <w:top w:val="single" w:sz="4" w:space="0" w:color="000000"/>
              <w:start w:val="single" w:sz="4" w:space="0" w:color="000000"/>
              <w:bottom w:val="single" w:sz="4" w:space="0" w:color="000000"/>
              <w:end w:val="single" w:sz="4" w:space="0" w:color="000000"/>
            </w:tcBorders>
            <w:shd w:fill="FFFF00" w:val="clear"/>
          </w:tcPr>
          <w:p>
            <w:pPr>
              <w:pStyle w:val="Heading5"/>
              <w:ind w:hanging="0" w:start="0"/>
              <w:rPr>
                <w:i w:val="false"/>
                <w:i w:val="false"/>
                <w:sz w:val="24"/>
              </w:rPr>
            </w:pPr>
            <w:r>
              <w:rPr>
                <w:i w:val="false"/>
                <w:sz w:val="24"/>
              </w:rPr>
              <w:t>Project Objective</w:t>
            </w:r>
          </w:p>
        </w:tc>
      </w:tr>
      <w:tr>
        <w:trPr/>
        <w:tc>
          <w:tcPr>
            <w:tcW w:w="18540" w:type="dxa"/>
            <w:gridSpan w:val="8"/>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2520" w:leader="none"/>
                <w:tab w:val="left" w:pos="2700" w:leader="none"/>
              </w:tabs>
              <w:rPr/>
            </w:pPr>
            <w:r>
              <w:rPr/>
              <w:t>Our review was designed to identify and test key policies, procedures and controls as of March 31, 2000 related to 1) Pulp, paper and lumber mid and back office operations, 2) Relationship and coordination between the commercial, risk, credit, accounting, legal, confirmation and settlements groups involving pulp, paper and lumber and 3) Scheduling of pulp, paper and lumber movement and related controls (where applicable).</w:t>
            </w:r>
          </w:p>
          <w:p>
            <w:pPr>
              <w:pStyle w:val="Footer"/>
              <w:tabs>
                <w:tab w:val="clear" w:pos="4320"/>
                <w:tab w:val="clear" w:pos="8640"/>
                <w:tab w:val="left" w:pos="2520" w:leader="none"/>
                <w:tab w:val="left" w:pos="2700" w:leader="none"/>
              </w:tabs>
              <w:rPr/>
            </w:pPr>
            <w:r>
              <w:rPr/>
            </w:r>
          </w:p>
        </w:tc>
      </w:tr>
      <w:tr>
        <w:trPr/>
        <w:tc>
          <w:tcPr>
            <w:tcW w:w="108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135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79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62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shd w:fill="FF0000" w:val="clear"/>
              </w:rPr>
              <w:t>Objective Met?</w:t>
            </w:r>
          </w:p>
        </w:tc>
        <w:tc>
          <w:tcPr>
            <w:tcW w:w="270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351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jc w:val="center"/>
              <w:rPr>
                <w:b/>
                <w:sz w:val="24"/>
              </w:rPr>
            </w:pPr>
            <w:r>
              <w:rPr>
                <w:b/>
                <w:sz w:val="24"/>
              </w:rPr>
              <w:t>Person &amp; Target Date</w:t>
            </w:r>
          </w:p>
        </w:tc>
      </w:tr>
      <w:tr>
        <w:trPr>
          <w:trHeight w:val="2406" w:hRule="atLeast"/>
        </w:trPr>
        <w:tc>
          <w:tcPr>
            <w:tcW w:w="1080" w:type="dxa"/>
            <w:tcBorders>
              <w:top w:val="single" w:sz="6" w:space="0" w:color="000000"/>
              <w:start w:val="single" w:sz="6" w:space="0" w:color="000000"/>
              <w:bottom w:val="single" w:sz="6" w:space="0" w:color="000000"/>
              <w:end w:val="single" w:sz="6" w:space="0" w:color="000000"/>
            </w:tcBorders>
          </w:tcPr>
          <w:p>
            <w:pPr>
              <w:pStyle w:val="Normal"/>
              <w:rPr>
                <w:sz w:val="18"/>
                <w:u w:val="single"/>
              </w:rPr>
            </w:pPr>
            <w:r>
              <w:rPr>
                <w:sz w:val="18"/>
                <w:u w:val="single"/>
              </w:rPr>
              <w:t>Paper, Pulp and Lumber Trading</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and Operational Completeness and Accuracy</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Operational</w:t>
            </w:r>
          </w:p>
          <w:p>
            <w:pPr>
              <w:pStyle w:val="Normal"/>
              <w:tabs>
                <w:tab w:val="clear" w:pos="720"/>
                <w:tab w:val="left" w:pos="2520" w:leader="none"/>
              </w:tabs>
              <w:rPr>
                <w:sz w:val="18"/>
              </w:rPr>
            </w:pPr>
            <w:r>
              <w:rPr>
                <w:sz w:val="18"/>
              </w:rPr>
              <w:t>Controls</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 xml:space="preserve">Appropriate operational controls are in place to support business activities and provide adequate segregation of functional duties and responsdibilities. </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7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62" w:leader="none"/>
              </w:tabs>
              <w:rPr>
                <w:sz w:val="18"/>
              </w:rPr>
            </w:pPr>
            <w:r>
              <w:rPr>
                <w:sz w:val="18"/>
              </w:rPr>
              <w:t>Adequate operational controls are in place to support the current level of commodity transactions.</w:t>
            </w:r>
          </w:p>
          <w:p>
            <w:pPr>
              <w:pStyle w:val="Normal"/>
              <w:rPr>
                <w:sz w:val="18"/>
              </w:rPr>
            </w:pPr>
            <w:r>
              <w:rPr>
                <w:sz w:val="18"/>
              </w:rPr>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15"/>
              </w:numPr>
              <w:tabs>
                <w:tab w:val="clear" w:pos="720"/>
                <w:tab w:val="left" w:pos="72" w:leader="none"/>
                <w:tab w:val="left" w:pos="162" w:leader="none"/>
              </w:tabs>
              <w:rPr>
                <w:sz w:val="18"/>
              </w:rPr>
            </w:pPr>
            <w:r>
              <w:rPr>
                <w:rFonts w:eastAsia="Book Antiqua"/>
                <w:sz w:val="18"/>
              </w:rPr>
              <w:t xml:space="preserve">   </w:t>
            </w:r>
            <w:r>
              <w:rPr>
                <w:sz w:val="18"/>
              </w:rPr>
              <w:t>The person responsible for creating physical invoices also receives checks from the counterparty and has the ability to manipulate invoice remittance terms, resulting in improper segregation of duties.  In addition, invoices for physical deals are not reviewed prior to being sent to the counterparty.</w:t>
            </w:r>
          </w:p>
          <w:p>
            <w:pPr>
              <w:pStyle w:val="Normal"/>
              <w:tabs>
                <w:tab w:val="clear" w:pos="720"/>
                <w:tab w:val="left" w:pos="72" w:leader="none"/>
                <w:tab w:val="left" w:pos="162" w:leader="none"/>
              </w:tabs>
              <w:rPr>
                <w:sz w:val="18"/>
              </w:rPr>
            </w:pPr>
            <w:r>
              <w:rPr>
                <w:sz w:val="18"/>
              </w:rPr>
            </w:r>
          </w:p>
          <w:p>
            <w:pPr>
              <w:pStyle w:val="Normal"/>
              <w:tabs>
                <w:tab w:val="clear" w:pos="720"/>
                <w:tab w:val="left" w:pos="72" w:leader="none"/>
                <w:tab w:val="left" w:pos="162" w:leader="none"/>
              </w:tabs>
              <w:rPr>
                <w:sz w:val="18"/>
              </w:rPr>
            </w:pPr>
            <w:r>
              <w:rPr>
                <w:sz w:val="18"/>
              </w:rPr>
            </w:r>
          </w:p>
          <w:p>
            <w:pPr>
              <w:pStyle w:val="Normal"/>
              <w:tabs>
                <w:tab w:val="clear" w:pos="720"/>
                <w:tab w:val="left" w:pos="72" w:leader="none"/>
                <w:tab w:val="left" w:pos="162" w:leader="none"/>
              </w:tabs>
              <w:rPr>
                <w:sz w:val="18"/>
              </w:rPr>
            </w:pPr>
            <w:r>
              <w:rPr>
                <w:sz w:val="18"/>
              </w:rPr>
            </w:r>
          </w:p>
          <w:p>
            <w:pPr>
              <w:pStyle w:val="Normal"/>
              <w:tabs>
                <w:tab w:val="clear" w:pos="720"/>
                <w:tab w:val="left" w:pos="72" w:leader="none"/>
                <w:tab w:val="left" w:pos="162" w:leader="none"/>
              </w:tabs>
              <w:rPr>
                <w:sz w:val="18"/>
              </w:rPr>
            </w:pPr>
            <w:r>
              <w:rPr>
                <w:sz w:val="18"/>
              </w:rPr>
            </w:r>
          </w:p>
          <w:p>
            <w:pPr>
              <w:pStyle w:val="Normal"/>
              <w:numPr>
                <w:ilvl w:val="0"/>
                <w:numId w:val="17"/>
              </w:numPr>
              <w:tabs>
                <w:tab w:val="clear" w:pos="720"/>
                <w:tab w:val="left" w:pos="72" w:leader="none"/>
                <w:tab w:val="left" w:pos="162" w:leader="none"/>
              </w:tabs>
              <w:rPr>
                <w:sz w:val="18"/>
              </w:rPr>
            </w:pPr>
            <w:r>
              <w:rPr>
                <w:rFonts w:eastAsia="Book Antiqua"/>
                <w:sz w:val="18"/>
              </w:rPr>
              <w:t xml:space="preserve">    </w:t>
            </w:r>
            <w:r>
              <w:rPr>
                <w:sz w:val="18"/>
              </w:rPr>
              <w:t>Due to the nature of recycled transactions, commercial group personnel prepare, execute and send confirmations to counterparties.</w:t>
            </w:r>
          </w:p>
        </w:tc>
        <w:tc>
          <w:tcPr>
            <w:tcW w:w="3510" w:type="dxa"/>
            <w:tcBorders>
              <w:top w:val="single" w:sz="6" w:space="0" w:color="000000"/>
              <w:start w:val="single" w:sz="6" w:space="0" w:color="000000"/>
              <w:bottom w:val="single" w:sz="6" w:space="0" w:color="000000"/>
              <w:end w:val="single" w:sz="6" w:space="0" w:color="000000"/>
            </w:tcBorders>
          </w:tcPr>
          <w:p>
            <w:pPr>
              <w:pStyle w:val="Normal"/>
              <w:numPr>
                <w:ilvl w:val="0"/>
                <w:numId w:val="11"/>
              </w:numPr>
              <w:tabs>
                <w:tab w:val="clear" w:pos="720"/>
                <w:tab w:val="left" w:pos="252" w:leader="none"/>
              </w:tabs>
              <w:rPr>
                <w:sz w:val="18"/>
              </w:rPr>
            </w:pPr>
            <w:r>
              <w:rPr>
                <w:rFonts w:eastAsia="Book Antiqua"/>
                <w:sz w:val="18"/>
              </w:rPr>
              <w:t xml:space="preserve">  </w:t>
            </w:r>
            <w:r>
              <w:rPr>
                <w:sz w:val="18"/>
              </w:rPr>
              <w:t>Utilize Right Angle for invoice creation and create an interface to Global Counterparty that cannot be manually overridden by Settlements personnel. (Implemented 6/1/00)</w:t>
            </w:r>
          </w:p>
          <w:p>
            <w:pPr>
              <w:pStyle w:val="Normal"/>
              <w:tabs>
                <w:tab w:val="clear" w:pos="720"/>
                <w:tab w:val="left" w:pos="0" w:leader="none"/>
                <w:tab w:val="left" w:pos="162" w:leader="none"/>
              </w:tabs>
              <w:rPr>
                <w:sz w:val="18"/>
              </w:rPr>
            </w:pPr>
            <w:r>
              <w:rPr>
                <w:sz w:val="18"/>
              </w:rPr>
            </w:r>
          </w:p>
          <w:p>
            <w:pPr>
              <w:pStyle w:val="Normal"/>
              <w:tabs>
                <w:tab w:val="clear" w:pos="720"/>
                <w:tab w:val="left" w:pos="0" w:leader="none"/>
                <w:tab w:val="left" w:pos="162" w:leader="none"/>
              </w:tabs>
              <w:rPr>
                <w:sz w:val="18"/>
              </w:rPr>
            </w:pPr>
            <w:r>
              <w:rPr>
                <w:sz w:val="18"/>
              </w:rPr>
            </w:r>
          </w:p>
          <w:p>
            <w:pPr>
              <w:pStyle w:val="Normal"/>
              <w:tabs>
                <w:tab w:val="clear" w:pos="720"/>
                <w:tab w:val="left" w:pos="0" w:leader="none"/>
                <w:tab w:val="left" w:pos="162" w:leader="none"/>
              </w:tabs>
              <w:rPr>
                <w:sz w:val="18"/>
              </w:rPr>
            </w:pPr>
            <w:r>
              <w:rPr>
                <w:sz w:val="18"/>
              </w:rPr>
            </w:r>
          </w:p>
          <w:p>
            <w:pPr>
              <w:pStyle w:val="Normal"/>
              <w:tabs>
                <w:tab w:val="clear" w:pos="720"/>
                <w:tab w:val="left" w:pos="0" w:leader="none"/>
                <w:tab w:val="left" w:pos="162" w:leader="none"/>
              </w:tabs>
              <w:rPr>
                <w:sz w:val="18"/>
              </w:rPr>
            </w:pPr>
            <w:r>
              <w:rPr>
                <w:sz w:val="18"/>
              </w:rPr>
            </w:r>
          </w:p>
          <w:p>
            <w:pPr>
              <w:pStyle w:val="Normal"/>
              <w:tabs>
                <w:tab w:val="clear" w:pos="720"/>
                <w:tab w:val="left" w:pos="0" w:leader="none"/>
                <w:tab w:val="left" w:pos="162" w:leader="none"/>
              </w:tabs>
              <w:rPr>
                <w:sz w:val="18"/>
              </w:rPr>
            </w:pPr>
            <w:r>
              <w:rPr>
                <w:sz w:val="18"/>
              </w:rPr>
            </w:r>
          </w:p>
          <w:p>
            <w:pPr>
              <w:pStyle w:val="Normal"/>
              <w:tabs>
                <w:tab w:val="clear" w:pos="720"/>
                <w:tab w:val="left" w:pos="0" w:leader="none"/>
                <w:tab w:val="left" w:pos="162" w:leader="none"/>
              </w:tabs>
              <w:rPr>
                <w:sz w:val="18"/>
              </w:rPr>
            </w:pPr>
            <w:r>
              <w:rPr>
                <w:sz w:val="18"/>
              </w:rPr>
            </w:r>
          </w:p>
          <w:p>
            <w:pPr>
              <w:pStyle w:val="Normal"/>
              <w:tabs>
                <w:tab w:val="clear" w:pos="720"/>
                <w:tab w:val="left" w:pos="0" w:leader="none"/>
                <w:tab w:val="left" w:pos="162" w:leader="none"/>
              </w:tabs>
              <w:rPr>
                <w:sz w:val="18"/>
              </w:rPr>
            </w:pPr>
            <w:r>
              <w:rPr>
                <w:sz w:val="18"/>
              </w:rPr>
            </w:r>
          </w:p>
          <w:p>
            <w:pPr>
              <w:pStyle w:val="Normal"/>
              <w:numPr>
                <w:ilvl w:val="0"/>
                <w:numId w:val="12"/>
              </w:numPr>
              <w:rPr>
                <w:sz w:val="18"/>
              </w:rPr>
            </w:pPr>
            <w:r>
              <w:rPr>
                <w:sz w:val="18"/>
              </w:rPr>
              <w:t xml:space="preserve">As stated in the Enron Corp. Risk Management Policy, all commercial functions should be kept segregated from the issuance and verification of deal documentation.  Therefore, the established commercial support control functions should be utilized for all paper, pulp and lumber transactions to ensure transactions are independently validated.  </w:t>
            </w:r>
          </w:p>
          <w:p>
            <w:pPr>
              <w:pStyle w:val="Normal"/>
              <w:tabs>
                <w:tab w:val="clear" w:pos="720"/>
                <w:tab w:val="left" w:pos="0" w:leader="none"/>
                <w:tab w:val="left" w:pos="162" w:leader="none"/>
              </w:tabs>
              <w:rPr>
                <w:sz w:val="18"/>
              </w:rPr>
            </w:pPr>
            <w:r>
              <w:rPr>
                <w:sz w:val="18"/>
              </w:rPr>
            </w:r>
          </w:p>
        </w:tc>
      </w:tr>
    </w:tbl>
    <w:p>
      <w:pPr>
        <w:sectPr>
          <w:headerReference w:type="default" r:id="rId2"/>
          <w:footerReference w:type="default" r:id="rId3"/>
          <w:type w:val="nextPage"/>
          <w:pgSz w:orient="landscape" w:w="20160" w:h="12240"/>
          <w:pgMar w:left="1440" w:right="1440" w:gutter="0" w:header="720" w:top="1800" w:footer="720" w:bottom="1620"/>
          <w:pgNumType w:fmt="decimal"/>
          <w:formProt w:val="false"/>
          <w:textDirection w:val="lrTb"/>
          <w:docGrid w:type="default" w:linePitch="360" w:charSpace="0"/>
        </w:sectPr>
      </w:pPr>
    </w:p>
    <w:tbl>
      <w:tblPr>
        <w:tblW w:w="18540" w:type="dxa"/>
        <w:jc w:val="start"/>
        <w:tblInd w:w="-432" w:type="dxa"/>
        <w:tblLayout w:type="fixed"/>
        <w:tblCellMar>
          <w:top w:w="0" w:type="dxa"/>
          <w:start w:w="108" w:type="dxa"/>
          <w:bottom w:w="0" w:type="dxa"/>
          <w:end w:w="108" w:type="dxa"/>
        </w:tblCellMar>
      </w:tblPr>
      <w:tblGrid>
        <w:gridCol w:w="1080"/>
        <w:gridCol w:w="1350"/>
        <w:gridCol w:w="1440"/>
        <w:gridCol w:w="2790"/>
        <w:gridCol w:w="1620"/>
        <w:gridCol w:w="2700"/>
        <w:gridCol w:w="4050"/>
        <w:gridCol w:w="3510"/>
      </w:tblGrid>
      <w:tr>
        <w:trPr>
          <w:tblHeader w:val="true"/>
        </w:trPr>
        <w:tc>
          <w:tcPr>
            <w:tcW w:w="108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18"/>
              </w:rPr>
            </w:pPr>
            <w:r>
              <w:rPr>
                <w:b/>
                <w:sz w:val="18"/>
              </w:rPr>
              <w:t>Project Name</w:t>
            </w:r>
          </w:p>
        </w:tc>
        <w:tc>
          <w:tcPr>
            <w:tcW w:w="135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18"/>
              </w:rPr>
            </w:pPr>
            <w:r>
              <w:rPr>
                <w:b/>
                <w:sz w:val="18"/>
              </w:rPr>
              <w:t>Risk Area</w:t>
            </w:r>
          </w:p>
        </w:tc>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18"/>
              </w:rPr>
            </w:pPr>
            <w:r>
              <w:rPr>
                <w:b/>
                <w:sz w:val="18"/>
              </w:rPr>
              <w:t>Target Activity</w:t>
            </w:r>
          </w:p>
        </w:tc>
        <w:tc>
          <w:tcPr>
            <w:tcW w:w="279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18"/>
              </w:rPr>
            </w:pPr>
            <w:r>
              <w:rPr>
                <w:b/>
                <w:sz w:val="18"/>
              </w:rPr>
              <w:t>Specific Risk Objectives</w:t>
            </w:r>
          </w:p>
        </w:tc>
        <w:tc>
          <w:tcPr>
            <w:tcW w:w="162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18"/>
              </w:rPr>
            </w:pPr>
            <w:r>
              <w:rPr>
                <w:b/>
                <w:sz w:val="18"/>
                <w:shd w:fill="FF0000" w:val="clear"/>
              </w:rPr>
              <w:t>Objective Met?</w:t>
            </w:r>
          </w:p>
        </w:tc>
        <w:tc>
          <w:tcPr>
            <w:tcW w:w="270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18"/>
              </w:rPr>
            </w:pPr>
            <w:r>
              <w:rPr>
                <w:b/>
                <w:sz w:val="18"/>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18"/>
              </w:rPr>
            </w:pPr>
            <w:r>
              <w:rPr>
                <w:b/>
                <w:sz w:val="18"/>
              </w:rPr>
              <w:t>Findings</w:t>
            </w:r>
          </w:p>
        </w:tc>
        <w:tc>
          <w:tcPr>
            <w:tcW w:w="351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18"/>
              </w:rPr>
            </w:pPr>
            <w:r>
              <w:rPr>
                <w:b/>
                <w:sz w:val="18"/>
              </w:rPr>
              <w:t>Recommendation,</w:t>
            </w:r>
          </w:p>
          <w:p>
            <w:pPr>
              <w:pStyle w:val="Normal"/>
              <w:jc w:val="center"/>
              <w:rPr>
                <w:b/>
                <w:sz w:val="18"/>
              </w:rPr>
            </w:pPr>
            <w:r>
              <w:rPr>
                <w:b/>
                <w:sz w:val="18"/>
              </w:rPr>
              <w:t>Person &amp; Target Date</w:t>
            </w:r>
          </w:p>
        </w:tc>
      </w:tr>
      <w:tr>
        <w:trPr>
          <w:trHeight w:val="2424" w:hRule="atLeast"/>
        </w:trPr>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18"/>
                <w:u w:val="single"/>
              </w:rPr>
            </w:pPr>
            <w:r>
              <w:rPr>
                <w:b/>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and Operational Completeness and Accuracy</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Trading Operations</w:t>
            </w:r>
          </w:p>
        </w:tc>
        <w:tc>
          <w:tcPr>
            <w:tcW w:w="2790" w:type="dxa"/>
            <w:tcBorders>
              <w:top w:val="single" w:sz="6" w:space="0" w:color="000000"/>
              <w:start w:val="single" w:sz="6" w:space="0" w:color="000000"/>
              <w:bottom w:val="single" w:sz="6" w:space="0" w:color="000000"/>
              <w:end w:val="single" w:sz="6" w:space="0" w:color="000000"/>
            </w:tcBorders>
          </w:tcPr>
          <w:p>
            <w:pPr>
              <w:pStyle w:val="AIOCNORMAL"/>
              <w:rPr>
                <w:sz w:val="18"/>
              </w:rPr>
            </w:pPr>
            <w:r>
              <w:rPr>
                <w:sz w:val="18"/>
              </w:rPr>
              <w:t>Operational processes will provide for complete and accurate reporting of the portfolio.</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7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62" w:leader="none"/>
              </w:tabs>
              <w:rPr>
                <w:sz w:val="18"/>
              </w:rPr>
            </w:pPr>
            <w:r>
              <w:rPr>
                <w:sz w:val="18"/>
              </w:rPr>
              <w:t>Existing controls and reporting mechanisms are adequate to support the current operations</w:t>
            </w:r>
          </w:p>
        </w:tc>
        <w:tc>
          <w:tcPr>
            <w:tcW w:w="40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Existing manual intensive procedures are effective to support the current level of activity for the scheduling function for paper, pulp and lumber products.  However, those procedures may not be scalable to efficiently accommodate increased trading activity associated with ClickPaper  (One deal may ultimately require the resource dedication of 1-40 deals for scheduling and settlement purposes).</w:t>
            </w:r>
          </w:p>
        </w:tc>
        <w:tc>
          <w:tcPr>
            <w:tcW w:w="351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Since there is no identified control deficiency at this time, management should assess the scalability of the current procedures to effectively manage the environment created by ClickPaper..</w:t>
            </w:r>
          </w:p>
          <w:p>
            <w:pPr>
              <w:pStyle w:val="Normal"/>
              <w:rPr>
                <w:sz w:val="18"/>
              </w:rPr>
            </w:pPr>
            <w:r>
              <w:rPr>
                <w:sz w:val="18"/>
              </w:rPr>
            </w:r>
          </w:p>
        </w:tc>
      </w:tr>
    </w:tbl>
    <w:p>
      <w:pPr>
        <w:pStyle w:val="Normal"/>
        <w:rPr/>
      </w:pPr>
      <w:r>
        <w:rPr/>
      </w:r>
    </w:p>
    <w:sectPr>
      <w:headerReference w:type="default" r:id="rId4"/>
      <w:headerReference w:type="first" r:id="rId5"/>
      <w:footerReference w:type="default" r:id="rId6"/>
      <w:footerReference w:type="first" r:id="rId7"/>
      <w:type w:val="nextPage"/>
      <w:pgSz w:orient="landscape" w:w="20160" w:h="12240"/>
      <w:pgMar w:left="1440" w:right="1440" w:gutter="0" w:header="720" w:top="1800" w:footer="720" w:bottom="16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858.45pt;mso-position-horizontal:right;mso-position-horizontal-relative:margin">
              <v:fill opacity="0f"/>
              <v:textbox inset="0in,0in,0in,0in">
                <w:txbxContent>
                  <w:p>
                    <w:pPr>
                      <w:pStyle w:val="Footer"/>
                      <w:rPr/>
                    </w:pPr>
                    <w:r>
                      <w:rPr/>
                      <w:fldChar w:fldCharType="begin"/>
                    </w:r>
                    <w:r>
                      <w:rPr/>
                      <w:instrText xml:space="preserve"> PAGE </w:instrText>
                    </w:r>
                    <w:r>
                      <w:rPr/>
                      <w:fldChar w:fldCharType="separate"/>
                    </w:r>
                    <w:r>
                      <w:rPr/>
                      <w:t>1</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0485"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858.45pt;mso-position-horizontal:right;mso-position-horizontal-relative:margin">
              <v:fill opacity="0f"/>
              <v:textbox inset="0in,0in,0in,0in">
                <w:txbxContent>
                  <w:p>
                    <w:pPr>
                      <w:pStyle w:val="Footer"/>
                      <w:rPr/>
                    </w:pPr>
                    <w:r>
                      <w:rPr/>
                      <w:fldChar w:fldCharType="begin"/>
                    </w:r>
                    <w:r>
                      <w:rPr/>
                      <w:instrText xml:space="preserve"> PAGE </w:instrText>
                    </w:r>
                    <w:r>
                      <w:rPr/>
                      <w:fldChar w:fldCharType="separate"/>
                    </w:r>
                    <w:r>
                      <w:rPr/>
                      <w:t>2</w:t>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4"/>
      </w:rPr>
    </w:pPr>
    <w:r>
      <w:rPr>
        <w:b/>
        <w:sz w:val="24"/>
      </w:rPr>
      <w:t>Enron North America—Paper, Pulp and Lumber Trading</w:t>
    </w:r>
  </w:p>
  <w:p>
    <w:pPr>
      <w:pStyle w:val="Normal"/>
      <w:jc w:val="center"/>
      <w:rPr>
        <w:b/>
        <w:sz w:val="24"/>
      </w:rPr>
    </w:pPr>
    <w:r>
      <w:rPr>
        <w:b/>
        <w:sz w:val="24"/>
      </w:rPr>
      <w:t>Business Risk Management (BRM) Project Reporting Format</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4"/>
      </w:rPr>
    </w:pPr>
    <w:r>
      <w:rPr>
        <w:b/>
        <w:sz w:val="24"/>
      </w:rPr>
      <w:t>Enron North America—Paper, Pulp and Lumber Trading</w:t>
    </w:r>
  </w:p>
  <w:p>
    <w:pPr>
      <w:pStyle w:val="Normal"/>
      <w:jc w:val="center"/>
      <w:rPr>
        <w:b/>
        <w:sz w:val="24"/>
      </w:rPr>
    </w:pPr>
    <w:r>
      <w:rPr>
        <w:b/>
        <w:sz w:val="24"/>
      </w:rPr>
      <w:t>Business Risk Management (BRM) Project Reporting Format</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283"/>
        </w:tabs>
        <w:ind w:start="283" w:hanging="283"/>
      </w:p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5">
    <w:name w:val="heading 5"/>
    <w:basedOn w:val="Normal"/>
    <w:next w:val="Normal"/>
    <w:qFormat/>
    <w:pPr>
      <w:keepNext w:val="true"/>
      <w:widowControl w:val="false"/>
      <w:numPr>
        <w:ilvl w:val="4"/>
        <w:numId w:val="1"/>
      </w:numPr>
      <w:outlineLvl w:val="4"/>
    </w:pPr>
    <w:rPr>
      <w:b/>
      <w:i/>
      <w:sz w:val="28"/>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color w:val="000000"/>
      <w:sz w:val="18"/>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sz w:val="18"/>
    </w:rPr>
  </w:style>
  <w:style w:type="character" w:styleId="WW8Num16z0">
    <w:name w:val="WW8Num16z0"/>
    <w:qFormat/>
    <w:rPr>
      <w:rFonts w:ascii="Symbol" w:hAnsi="Symbol" w:cs="Symbol"/>
      <w:sz w:val="18"/>
    </w:rPr>
  </w:style>
  <w:style w:type="character" w:styleId="WW8Num17z0">
    <w:name w:val="WW8Num17z0"/>
    <w:qFormat/>
    <w:rPr>
      <w:rFonts w:ascii="Book Antiqua" w:hAnsi="Book Antiqua" w:cs="Book Antiqua"/>
      <w:sz w:val="18"/>
    </w:rPr>
  </w:style>
  <w:style w:type="character" w:styleId="WW8Num18z0">
    <w:name w:val="WW8Num18z0"/>
    <w:qFormat/>
    <w:rPr>
      <w:rFonts w:ascii="Symbol" w:hAnsi="Symbol" w:cs="Symbol"/>
      <w:sz w:val="18"/>
    </w:rPr>
  </w:style>
  <w:style w:type="character" w:styleId="WW8Num19z0">
    <w:name w:val="WW8Num19z0"/>
    <w:qFormat/>
    <w:rPr>
      <w:rFonts w:ascii="Symbol" w:hAnsi="Symbol" w:cs="Symbol"/>
      <w:color w:val="000000"/>
      <w:sz w:val="18"/>
    </w:rPr>
  </w:style>
  <w:style w:type="character" w:styleId="WW8Num20z0">
    <w:name w:val="WW8Num20z0"/>
    <w:qFormat/>
    <w:rPr>
      <w:rFonts w:ascii="Book Antiqua" w:hAnsi="Book Antiqua" w:cs="Book Antiqua"/>
      <w:sz w:val="18"/>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Book Antiqua" w:hAnsi="Book Antiqua" w:cs="Book Antiqua"/>
      <w:sz w:val="18"/>
    </w:rPr>
  </w:style>
  <w:style w:type="character" w:styleId="WW8Num25z0">
    <w:name w:val="WW8Num25z0"/>
    <w:qFormat/>
    <w:rPr>
      <w:rFonts w:ascii="Symbol" w:hAnsi="Symbol" w:cs="Symbol"/>
      <w:sz w:val="18"/>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rFonts w:ascii="Wingdings" w:hAnsi="Wingdings" w:cs="Wingdings"/>
      <w:sz w:val="16"/>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sz w:val="18"/>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Book Antiqua" w:hAnsi="Book Antiqua" w:cs="Book Antiqua"/>
      <w:sz w:val="18"/>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Symbol" w:hAnsi="Symbol" w:cs="Symbol"/>
      <w:color w:val="auto"/>
    </w:rPr>
  </w:style>
  <w:style w:type="character" w:styleId="WW8Num44z0">
    <w:name w:val="WW8Num44z0"/>
    <w:qFormat/>
    <w:rPr>
      <w:rFonts w:ascii="Symbol" w:hAnsi="Symbol" w:cs="Symbol"/>
    </w:rPr>
  </w:style>
  <w:style w:type="character" w:styleId="WW8Num45z0">
    <w:name w:val="WW8Num45z0"/>
    <w:qFormat/>
    <w:rPr>
      <w:rFonts w:ascii="Symbol" w:hAnsi="Symbol" w:cs="Symbol"/>
      <w:color w:val="000000"/>
      <w:sz w:val="18"/>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sz w:val="18"/>
    </w:rPr>
  </w:style>
  <w:style w:type="character" w:styleId="WW8Num49z0">
    <w:name w:val="WW8Num49z0"/>
    <w:qFormat/>
    <w:rPr>
      <w:rFonts w:ascii="Symbol" w:hAnsi="Symbol" w:cs="Symbol"/>
      <w:color w:val="auto"/>
    </w:rPr>
  </w:style>
  <w:style w:type="character" w:styleId="WW8Num50z0">
    <w:name w:val="WW8Num50z0"/>
    <w:qFormat/>
    <w:rPr>
      <w:rFonts w:ascii="Book Antiqua" w:hAnsi="Book Antiqua" w:cs="Book Antiqua"/>
      <w:sz w:val="18"/>
    </w:rPr>
  </w:style>
  <w:style w:type="character" w:styleId="WW8Num51z0">
    <w:name w:val="WW8Num51z0"/>
    <w:qFormat/>
    <w:rPr>
      <w:rFonts w:ascii="Symbol" w:hAnsi="Symbol" w:cs="Symbol"/>
      <w:sz w:val="18"/>
    </w:rPr>
  </w:style>
  <w:style w:type="character" w:styleId="WW8Num52z0">
    <w:name w:val="WW8Num52z0"/>
    <w:qFormat/>
    <w:rPr>
      <w:rFonts w:ascii="Symbol" w:hAnsi="Symbol" w:cs="Symbol"/>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color w:val="auto"/>
    </w:rPr>
  </w:style>
  <w:style w:type="character" w:styleId="WW8Num55z0">
    <w:name w:val="WW8Num55z0"/>
    <w:qFormat/>
    <w:rPr>
      <w:rFonts w:ascii="Symbol" w:hAnsi="Symbol" w:cs="Symbol"/>
      <w:color w:val="auto"/>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sz w:val="18"/>
    </w:rPr>
  </w:style>
  <w:style w:type="character" w:styleId="WW8Num61z0">
    <w:name w:val="WW8Num61z0"/>
    <w:qFormat/>
    <w:rPr>
      <w:rFonts w:ascii="Symbol" w:hAnsi="Symbol" w:cs="Symbol"/>
    </w:rPr>
  </w:style>
  <w:style w:type="character" w:styleId="WW8Num62z0">
    <w:name w:val="WW8Num62z0"/>
    <w:qFormat/>
    <w:rPr>
      <w:rFonts w:ascii="Symbol" w:hAnsi="Symbol" w:cs="Symbol"/>
      <w:color w:val="000000"/>
      <w:sz w:val="18"/>
    </w:rPr>
  </w:style>
  <w:style w:type="character" w:styleId="WW8Num63z0">
    <w:name w:val="WW8Num63z0"/>
    <w:qFormat/>
    <w:rPr>
      <w:rFonts w:ascii="Symbol" w:hAnsi="Symbol" w:cs="Symbol"/>
      <w:sz w:val="18"/>
    </w:rPr>
  </w:style>
  <w:style w:type="character" w:styleId="WW8Num64z0">
    <w:name w:val="WW8Num64z0"/>
    <w:qFormat/>
    <w:rPr>
      <w:rFonts w:ascii="Symbol" w:hAnsi="Symbol" w:cs="Symbol"/>
    </w:rPr>
  </w:style>
  <w:style w:type="character" w:styleId="WW8Num65z0">
    <w:name w:val="WW8Num65z0"/>
    <w:qFormat/>
    <w:rPr>
      <w:rFonts w:ascii="Symbol" w:hAnsi="Symbol" w:cs="Symbol"/>
      <w:color w:val="000000"/>
      <w:sz w:val="18"/>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sz w:val="18"/>
    </w:rPr>
  </w:style>
  <w:style w:type="character" w:styleId="WW8Num70z0">
    <w:name w:val="WW8Num70z0"/>
    <w:qFormat/>
    <w:rPr>
      <w:rFonts w:ascii="Symbol" w:hAnsi="Symbol" w:cs="Symbol"/>
      <w:sz w:val="18"/>
    </w:rPr>
  </w:style>
  <w:style w:type="character" w:styleId="WW8Num71z0">
    <w:name w:val="WW8Num71z0"/>
    <w:qFormat/>
    <w:rPr>
      <w:rFonts w:ascii="Symbol" w:hAnsi="Symbol" w:cs="Symbol"/>
      <w:color w:val="auto"/>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sz w:val="18"/>
    </w:rPr>
  </w:style>
  <w:style w:type="character" w:styleId="WW8Num75z0">
    <w:name w:val="WW8Num75z0"/>
    <w:qFormat/>
    <w:rPr>
      <w:rFonts w:ascii="Symbol" w:hAnsi="Symbol" w:cs="Symbol"/>
    </w:rPr>
  </w:style>
  <w:style w:type="character" w:styleId="WW8Num76z0">
    <w:name w:val="WW8Num76z0"/>
    <w:qFormat/>
    <w:rPr>
      <w:rFonts w:ascii="Symbol" w:hAnsi="Symbol" w:cs="Symbol"/>
      <w:color w:val="000000"/>
      <w:sz w:val="18"/>
    </w:rPr>
  </w:style>
  <w:style w:type="character" w:styleId="WW8Num77z0">
    <w:name w:val="WW8Num77z0"/>
    <w:qFormat/>
    <w:rPr>
      <w:rFonts w:ascii="Symbol" w:hAnsi="Symbol" w:cs="Symbol"/>
    </w:rPr>
  </w:style>
  <w:style w:type="character" w:styleId="WW8Num78z0">
    <w:name w:val="WW8Num78z0"/>
    <w:qFormat/>
    <w:rPr>
      <w:rFonts w:ascii="Symbol" w:hAnsi="Symbol" w:cs="Symbol"/>
      <w:sz w:val="18"/>
    </w:rPr>
  </w:style>
  <w:style w:type="character" w:styleId="WW8Num79z0">
    <w:name w:val="WW8Num79z0"/>
    <w:qFormat/>
    <w:rPr>
      <w:rFonts w:ascii="Symbol" w:hAnsi="Symbol" w:cs="Symbol"/>
    </w:rPr>
  </w:style>
  <w:style w:type="character" w:styleId="WW8Num80z0">
    <w:name w:val="WW8Num80z0"/>
    <w:qFormat/>
    <w:rPr>
      <w:rFonts w:ascii="Symbol" w:hAnsi="Symbol" w:cs="Symbol"/>
      <w:sz w:val="18"/>
    </w:rPr>
  </w:style>
  <w:style w:type="character" w:styleId="WW8Num81z0">
    <w:name w:val="WW8Num81z0"/>
    <w:qFormat/>
    <w:rPr>
      <w:rFonts w:ascii="Symbol" w:hAnsi="Symbol" w:cs="Symbol"/>
      <w:sz w:val="16"/>
    </w:rPr>
  </w:style>
  <w:style w:type="character" w:styleId="WW8Num82z0">
    <w:name w:val="WW8Num82z0"/>
    <w:qFormat/>
    <w:rPr>
      <w:rFonts w:ascii="Symbol" w:hAnsi="Symbol" w:cs="Symbol"/>
      <w:color w:val="auto"/>
    </w:rPr>
  </w:style>
  <w:style w:type="character" w:styleId="WW8Num83z0">
    <w:name w:val="WW8Num83z0"/>
    <w:qFormat/>
    <w:rPr>
      <w:rFonts w:ascii="Symbol" w:hAnsi="Symbol" w:cs="Symbol"/>
      <w:color w:val="000000"/>
      <w:sz w:val="18"/>
    </w:rPr>
  </w:style>
  <w:style w:type="character" w:styleId="WW8Num84z0">
    <w:name w:val="WW8Num84z0"/>
    <w:qFormat/>
    <w:rPr>
      <w:rFonts w:ascii="Symbol" w:hAnsi="Symbol" w:cs="Symbol"/>
      <w:sz w:val="18"/>
    </w:rPr>
  </w:style>
  <w:style w:type="character" w:styleId="WW8Num85z0">
    <w:name w:val="WW8Num85z0"/>
    <w:qFormat/>
    <w:rPr>
      <w:rFonts w:ascii="Symbol" w:hAnsi="Symbol" w:cs="Symbol"/>
      <w:sz w:val="16"/>
    </w:rPr>
  </w:style>
  <w:style w:type="character" w:styleId="WW8Num86z0">
    <w:name w:val="WW8Num86z0"/>
    <w:qFormat/>
    <w:rPr>
      <w:rFonts w:ascii="Symbol" w:hAnsi="Symbol" w:cs="Symbol"/>
      <w:color w:val="auto"/>
    </w:rPr>
  </w:style>
  <w:style w:type="character" w:styleId="WW8Num87z0">
    <w:name w:val="WW8Num87z0"/>
    <w:qFormat/>
    <w:rPr>
      <w:rFonts w:ascii="Symbol" w:hAnsi="Symbol" w:cs="Symbol"/>
    </w:rPr>
  </w:style>
  <w:style w:type="character" w:styleId="WW8Num88z0">
    <w:name w:val="WW8Num88z0"/>
    <w:qFormat/>
    <w:rPr>
      <w:rFonts w:ascii="Symbol" w:hAnsi="Symbol" w:cs="Symbol"/>
      <w:sz w:val="18"/>
    </w:rPr>
  </w:style>
  <w:style w:type="character" w:styleId="WW8Num89z0">
    <w:name w:val="WW8Num89z0"/>
    <w:qFormat/>
    <w:rPr>
      <w:rFonts w:ascii="Symbol" w:hAnsi="Symbol" w:cs="Symbol"/>
      <w:color w:val="auto"/>
    </w:rPr>
  </w:style>
  <w:style w:type="character" w:styleId="WW8Num90z0">
    <w:name w:val="WW8Num90z0"/>
    <w:qFormat/>
    <w:rPr>
      <w:rFonts w:ascii="Symbol" w:hAnsi="Symbol" w:cs="Symbol"/>
      <w:sz w:val="16"/>
    </w:rPr>
  </w:style>
  <w:style w:type="character" w:styleId="WW8Num92z0">
    <w:name w:val="WW8Num92z0"/>
    <w:qFormat/>
    <w:rPr>
      <w:rFonts w:ascii="Symbol" w:hAnsi="Symbol" w:cs="Symbol"/>
    </w:rPr>
  </w:style>
  <w:style w:type="character" w:styleId="WW8Num93z0">
    <w:name w:val="WW8Num93z0"/>
    <w:qFormat/>
    <w:rPr>
      <w:rFonts w:ascii="Symbol" w:hAnsi="Symbol" w:cs="Symbol"/>
      <w:sz w:val="18"/>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Book Antiqua" w:hAnsi="Book Antiqua" w:cs="Book Antiqua"/>
      <w:sz w:val="18"/>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2z0">
    <w:name w:val="WW8Num102z0"/>
    <w:qFormat/>
    <w:rPr>
      <w:rFonts w:ascii="Symbol" w:hAnsi="Symbol" w:cs="Symbol"/>
      <w:color w:val="auto"/>
    </w:rPr>
  </w:style>
  <w:style w:type="character" w:styleId="WW8Num103z0">
    <w:name w:val="WW8Num103z0"/>
    <w:qFormat/>
    <w:rPr>
      <w:rFonts w:ascii="Symbol" w:hAnsi="Symbol" w:cs="Symbol"/>
      <w:sz w:val="18"/>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sz w:val="18"/>
    </w:rPr>
  </w:style>
  <w:style w:type="character" w:styleId="WW8Num109z0">
    <w:name w:val="WW8Num109z0"/>
    <w:qFormat/>
    <w:rPr>
      <w:rFonts w:ascii="Symbol" w:hAnsi="Symbol" w:cs="Symbol"/>
      <w:color w:val="000000"/>
      <w:sz w:val="18"/>
    </w:rPr>
  </w:style>
  <w:style w:type="character" w:styleId="WW8Num110z0">
    <w:name w:val="WW8Num110z0"/>
    <w:qFormat/>
    <w:rPr>
      <w:rFonts w:ascii="Symbol" w:hAnsi="Symbol" w:cs="Symbol"/>
      <w:sz w:val="18"/>
    </w:rPr>
  </w:style>
  <w:style w:type="character" w:styleId="WW8Num111z0">
    <w:name w:val="WW8Num111z0"/>
    <w:qFormat/>
    <w:rPr>
      <w:rFonts w:ascii="Symbol" w:hAnsi="Symbol" w:cs="Symbol"/>
    </w:rPr>
  </w:style>
  <w:style w:type="character" w:styleId="WW8Num112z0">
    <w:name w:val="WW8Num112z0"/>
    <w:qFormat/>
    <w:rPr>
      <w:rFonts w:ascii="Symbol" w:hAnsi="Symbol" w:cs="Symbol"/>
      <w:sz w:val="18"/>
    </w:rPr>
  </w:style>
  <w:style w:type="character" w:styleId="WW8Num113z0">
    <w:name w:val="WW8Num113z0"/>
    <w:qFormat/>
    <w:rPr>
      <w:rFonts w:ascii="Symbol" w:hAnsi="Symbol" w:cs="Symbol"/>
      <w:color w:val="000000"/>
      <w:sz w:val="18"/>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sz w:val="18"/>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color w:val="auto"/>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sz w:val="18"/>
    </w:rPr>
  </w:style>
  <w:style w:type="character" w:styleId="WW8Num123z0">
    <w:name w:val="WW8Num123z0"/>
    <w:qFormat/>
    <w:rPr>
      <w:rFonts w:ascii="Symbol" w:hAnsi="Symbol" w:cs="Symbol"/>
      <w:sz w:val="18"/>
    </w:rPr>
  </w:style>
  <w:style w:type="character" w:styleId="WW8Num124z0">
    <w:name w:val="WW8Num124z0"/>
    <w:qFormat/>
    <w:rPr>
      <w:rFonts w:ascii="Symbol" w:hAnsi="Symbol" w:cs="Symbol"/>
      <w:color w:val="000000"/>
      <w:sz w:val="18"/>
    </w:rPr>
  </w:style>
  <w:style w:type="character" w:styleId="WW8Num125z0">
    <w:name w:val="WW8Num125z0"/>
    <w:qFormat/>
    <w:rPr>
      <w:rFonts w:ascii="Symbol" w:hAnsi="Symbol" w:cs="Symbol"/>
      <w:sz w:val="18"/>
    </w:rPr>
  </w:style>
  <w:style w:type="character" w:styleId="WW8Num126z0">
    <w:name w:val="WW8Num126z0"/>
    <w:qFormat/>
    <w:rPr>
      <w:rFonts w:ascii="Symbol" w:hAnsi="Symbol" w:cs="Symbol"/>
      <w:sz w:val="18"/>
    </w:rPr>
  </w:style>
  <w:style w:type="character" w:styleId="WW8Num127z0">
    <w:name w:val="WW8Num127z0"/>
    <w:qFormat/>
    <w:rPr>
      <w:rFonts w:ascii="Book Antiqua" w:hAnsi="Book Antiqua" w:cs="Book Antiqua"/>
      <w:sz w:val="18"/>
    </w:rPr>
  </w:style>
  <w:style w:type="character" w:styleId="WW8Num128z0">
    <w:name w:val="WW8Num128z0"/>
    <w:qFormat/>
    <w:rPr>
      <w:rFonts w:ascii="Symbol" w:hAnsi="Symbol" w:cs="Symbol"/>
      <w:color w:val="auto"/>
    </w:rPr>
  </w:style>
  <w:style w:type="character" w:styleId="WW8Num129z0">
    <w:name w:val="WW8Num129z0"/>
    <w:qFormat/>
    <w:rPr>
      <w:rFonts w:ascii="Book Antiqua" w:hAnsi="Book Antiqua" w:cs="Book Antiqua"/>
      <w:sz w:val="18"/>
    </w:rPr>
  </w:style>
  <w:style w:type="character" w:styleId="WW8Num130z0">
    <w:name w:val="WW8Num130z0"/>
    <w:qFormat/>
    <w:rPr>
      <w:rFonts w:ascii="Symbol" w:hAnsi="Symbol" w:cs="Symbol"/>
      <w:sz w:val="18"/>
    </w:rPr>
  </w:style>
  <w:style w:type="character" w:styleId="WW8Num131z0">
    <w:name w:val="WW8Num131z0"/>
    <w:qFormat/>
    <w:rPr>
      <w:rFonts w:ascii="Symbol" w:hAnsi="Symbol" w:cs="Symbol"/>
      <w:color w:val="auto"/>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sz w:val="18"/>
    </w:rPr>
  </w:style>
  <w:style w:type="character" w:styleId="WW8Num134z0">
    <w:name w:val="WW8Num134z0"/>
    <w:qFormat/>
    <w:rPr>
      <w:rFonts w:ascii="Symbol" w:hAnsi="Symbol" w:cs="Symbol"/>
      <w:sz w:val="18"/>
    </w:rPr>
  </w:style>
  <w:style w:type="character" w:styleId="WW8Num135z0">
    <w:name w:val="WW8Num135z0"/>
    <w:qFormat/>
    <w:rPr>
      <w:rFonts w:ascii="Symbol" w:hAnsi="Symbol" w:cs="Symbol"/>
      <w:color w:val="000000"/>
      <w:sz w:val="18"/>
    </w:rPr>
  </w:style>
  <w:style w:type="character" w:styleId="WW8Num136z0">
    <w:name w:val="WW8Num136z0"/>
    <w:qFormat/>
    <w:rPr>
      <w:rFonts w:ascii="Symbol" w:hAnsi="Symbol" w:cs="Symbol"/>
      <w:color w:val="000000"/>
      <w:sz w:val="18"/>
    </w:rPr>
  </w:style>
  <w:style w:type="character" w:styleId="WW8Num137z0">
    <w:name w:val="WW8Num137z0"/>
    <w:qFormat/>
    <w:rPr>
      <w:rFonts w:ascii="Symbol" w:hAnsi="Symbol" w:cs="Symbol"/>
      <w:sz w:val="16"/>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000000"/>
      <w:sz w:val="18"/>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color w:val="000000"/>
      <w:sz w:val="18"/>
    </w:rPr>
  </w:style>
  <w:style w:type="character" w:styleId="WW8Num143z0">
    <w:name w:val="WW8Num143z0"/>
    <w:qFormat/>
    <w:rPr>
      <w:rFonts w:ascii="Symbol" w:hAnsi="Symbol" w:cs="Symbol"/>
      <w:sz w:val="18"/>
    </w:rPr>
  </w:style>
  <w:style w:type="character" w:styleId="WW8Num144z0">
    <w:name w:val="WW8Num144z0"/>
    <w:qFormat/>
    <w:rPr>
      <w:rFonts w:ascii="Symbol" w:hAnsi="Symbol" w:cs="Symbol"/>
    </w:rPr>
  </w:style>
  <w:style w:type="character" w:styleId="WW8Num145z0">
    <w:name w:val="WW8Num145z0"/>
    <w:qFormat/>
    <w:rPr>
      <w:rFonts w:ascii="Wingdings" w:hAnsi="Wingdings" w:cs="Wingdings"/>
      <w:sz w:val="16"/>
    </w:rPr>
  </w:style>
  <w:style w:type="character" w:styleId="WW8NumSt1z0">
    <w:name w:val="WW8NumSt1z0"/>
    <w:qFormat/>
    <w:rPr>
      <w:rFonts w:ascii="Symbol" w:hAnsi="Symbol" w:cs="Symbol"/>
    </w:rPr>
  </w:style>
  <w:style w:type="character" w:styleId="WW8NumSt2z0">
    <w:name w:val="WW8NumSt2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18"/>
      <w:lang w:eastAsia="en-US"/>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134" w:leader="none"/>
      </w:tabs>
      <w:spacing w:lineRule="atLeast" w:line="280"/>
    </w:pPr>
    <w:rPr>
      <w:rFonts w:ascii="Times New Roman" w:hAnsi="Times New Roman" w:cs="Times New Roman"/>
      <w:b/>
    </w:rPr>
  </w:style>
  <w:style w:type="paragraph" w:styleId="Index">
    <w:name w:val="Index"/>
    <w:basedOn w:val="Normal"/>
    <w:qFormat/>
    <w:pPr>
      <w:suppressLineNumbers/>
    </w:pPr>
    <w:rPr>
      <w:rFonts w:cs="NotoSans NF"/>
    </w:rPr>
  </w:style>
  <w:style w:type="paragraph" w:styleId="MacroText">
    <w:name w:val="Macro Text"/>
    <w:qFormat/>
    <w:pPr>
      <w:widowControl/>
      <w:bidi w:val="0"/>
    </w:pPr>
    <w:rPr>
      <w:rFonts w:ascii="Book Antiqua" w:hAnsi="Book Antiqua" w:eastAsia="Times New Roman" w:cs="Book Antiqua"/>
      <w:color w:val="auto"/>
      <w:sz w:val="1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IOCNORMAL">
    <w:name w:val="AIOC NORMAL"/>
    <w:basedOn w:val="Normal"/>
    <w:qFormat/>
    <w:pPr>
      <w:tabs>
        <w:tab w:val="clear" w:pos="720"/>
        <w:tab w:val="left" w:pos="1440" w:leader="none"/>
      </w:tabs>
    </w:pPr>
    <w:rPr/>
  </w:style>
  <w:style w:type="paragraph" w:styleId="ListBullet">
    <w:name w:val="List Bullet"/>
    <w:basedOn w:val="Normal"/>
    <w:qFormat/>
    <w:pPr>
      <w:numPr>
        <w:ilvl w:val="0"/>
        <w:numId w:val="10"/>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Bullet2">
    <w:name w:val="List Bullet 2"/>
    <w:basedOn w:val="Normal"/>
    <w:qFormat/>
    <w:pPr>
      <w:numPr>
        <w:ilvl w:val="0"/>
        <w:numId w:val="8"/>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Bullet3">
    <w:name w:val="List Bullet 3"/>
    <w:basedOn w:val="Normal"/>
    <w:qFormat/>
    <w:pPr>
      <w:tabs>
        <w:tab w:val="clear" w:pos="720"/>
        <w:tab w:val="left" w:pos="851" w:leader="none"/>
        <w:tab w:val="left" w:pos="1134" w:leader="none"/>
      </w:tabs>
      <w:spacing w:lineRule="atLeast" w:line="280"/>
    </w:pPr>
    <w:rPr>
      <w:sz w:val="18"/>
    </w:rPr>
  </w:style>
  <w:style w:type="paragraph" w:styleId="ListBullet4">
    <w:name w:val="List Bullet 4"/>
    <w:basedOn w:val="Normal"/>
    <w:qFormat/>
    <w:pPr>
      <w:numPr>
        <w:ilvl w:val="0"/>
        <w:numId w:val="7"/>
      </w:numPr>
      <w:tabs>
        <w:tab w:val="clear" w:pos="720"/>
        <w:tab w:val="left" w:pos="1134" w:leader="none"/>
      </w:tabs>
      <w:spacing w:lineRule="atLeast" w:line="280"/>
      <w:ind w:hanging="284" w:start="1418" w:end="0"/>
    </w:pPr>
    <w:rPr>
      <w:rFonts w:ascii="Times New Roman" w:hAnsi="Times New Roman" w:cs="Times New Roman"/>
    </w:rPr>
  </w:style>
  <w:style w:type="paragraph" w:styleId="ListNumber">
    <w:name w:val="List Number"/>
    <w:basedOn w:val="Normal"/>
    <w:qFormat/>
    <w:pPr>
      <w:numPr>
        <w:ilvl w:val="0"/>
        <w:numId w:val="9"/>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Number2">
    <w:name w:val="List Number 2"/>
    <w:basedOn w:val="Normal"/>
    <w:qFormat/>
    <w:pPr>
      <w:numPr>
        <w:ilvl w:val="0"/>
        <w:numId w:val="5"/>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Number3">
    <w:name w:val="List Number 3"/>
    <w:basedOn w:val="Normal"/>
    <w:qFormat/>
    <w:pPr>
      <w:numPr>
        <w:ilvl w:val="0"/>
        <w:numId w:val="4"/>
      </w:numPr>
      <w:tabs>
        <w:tab w:val="clear" w:pos="720"/>
        <w:tab w:val="left" w:pos="851" w:leader="none"/>
        <w:tab w:val="left" w:pos="1134" w:leader="none"/>
      </w:tabs>
      <w:spacing w:lineRule="atLeast" w:line="280"/>
      <w:ind w:hanging="284" w:start="1135" w:end="0"/>
    </w:pPr>
    <w:rPr>
      <w:rFonts w:ascii="Times New Roman" w:hAnsi="Times New Roman" w:cs="Times New Roman"/>
    </w:rPr>
  </w:style>
  <w:style w:type="paragraph" w:styleId="ListNumber5">
    <w:name w:val="List Number 5"/>
    <w:basedOn w:val="Normal"/>
    <w:qFormat/>
    <w:pPr>
      <w:numPr>
        <w:ilvl w:val="0"/>
        <w:numId w:val="2"/>
      </w:numPr>
      <w:tabs>
        <w:tab w:val="clear" w:pos="720"/>
        <w:tab w:val="left" w:pos="1134" w:leader="none"/>
        <w:tab w:val="left" w:pos="1418" w:leader="none"/>
      </w:tabs>
      <w:spacing w:lineRule="atLeast" w:line="280"/>
      <w:ind w:hanging="284" w:start="1418" w:end="0"/>
    </w:pPr>
    <w:rPr>
      <w:rFonts w:ascii="Times New Roman" w:hAnsi="Times New Roman" w:cs="Times New Roman"/>
    </w:rPr>
  </w:style>
  <w:style w:type="paragraph" w:styleId="ListNumber4">
    <w:name w:val="List Number 4"/>
    <w:basedOn w:val="Normal"/>
    <w:qFormat/>
    <w:pPr>
      <w:numPr>
        <w:ilvl w:val="0"/>
        <w:numId w:val="3"/>
      </w:numPr>
      <w:tabs>
        <w:tab w:val="clear" w:pos="720"/>
        <w:tab w:val="left" w:pos="1134" w:leader="none"/>
        <w:tab w:val="left" w:pos="1418" w:leader="none"/>
      </w:tabs>
      <w:spacing w:lineRule="atLeast" w:line="280"/>
      <w:ind w:hanging="0" w:start="1209" w:end="0"/>
    </w:pPr>
    <w:rPr>
      <w:rFonts w:ascii="Times New Roman" w:hAnsi="Times New Roman" w:cs="Times New Roman"/>
    </w:rPr>
  </w:style>
  <w:style w:type="paragraph" w:styleId="ListBullet5">
    <w:name w:val="List Bullet 5"/>
    <w:basedOn w:val="Normal"/>
    <w:qFormat/>
    <w:pPr>
      <w:numPr>
        <w:ilvl w:val="0"/>
        <w:numId w:val="6"/>
      </w:numPr>
      <w:tabs>
        <w:tab w:val="clear" w:pos="720"/>
        <w:tab w:val="left" w:pos="1134" w:leader="none"/>
        <w:tab w:val="left" w:pos="1418" w:leader="none"/>
      </w:tabs>
      <w:spacing w:lineRule="atLeast" w:line="280"/>
      <w:ind w:hanging="284" w:start="1702" w:end="0"/>
    </w:pPr>
    <w:rPr>
      <w:rFonts w:ascii="Times New Roman" w:hAnsi="Times New Roman" w:cs="Times New Roman"/>
    </w:rPr>
  </w:style>
  <w:style w:type="paragraph" w:styleId="AA1stlevelbullet">
    <w:name w:val="AA 1st level bullet"/>
    <w:basedOn w:val="Normal"/>
    <w:qFormat/>
    <w:pPr>
      <w:numPr>
        <w:ilvl w:val="0"/>
        <w:numId w:val="14"/>
      </w:numPr>
      <w:tabs>
        <w:tab w:val="clear" w:pos="720"/>
      </w:tabs>
      <w:spacing w:lineRule="atLeast" w:line="280"/>
      <w:ind w:hanging="284" w:start="284" w:end="0"/>
    </w:pPr>
    <w:rPr>
      <w:rFonts w:ascii="Times New Roman" w:hAnsi="Times New Roman" w:cs="Times New Roman"/>
    </w:rPr>
  </w:style>
  <w:style w:type="paragraph" w:styleId="AA2ndlevelbullet">
    <w:name w:val="AA 2nd level bullet"/>
    <w:basedOn w:val="AA1stlevelbullet"/>
    <w:qFormat/>
    <w:pPr>
      <w:numPr>
        <w:ilvl w:val="0"/>
        <w:numId w:val="16"/>
      </w:numPr>
      <w:tabs>
        <w:tab w:val="left" w:pos="360" w:leader="none"/>
      </w:tabs>
      <w:ind w:hanging="284" w:start="568" w:end="0"/>
    </w:pPr>
    <w:rPr/>
  </w:style>
  <w:style w:type="paragraph" w:styleId="AANumbering">
    <w:name w:val="AA Numbering"/>
    <w:basedOn w:val="Normal"/>
    <w:qFormat/>
    <w:pPr>
      <w:numPr>
        <w:ilvl w:val="0"/>
        <w:numId w:val="13"/>
      </w:numPr>
      <w:tabs>
        <w:tab w:val="clear" w:pos="720"/>
        <w:tab w:val="left" w:pos="1134" w:leader="none"/>
      </w:tabs>
      <w:spacing w:lineRule="atLeast" w:line="280"/>
      <w:ind w:hanging="0" w:start="0" w:end="0"/>
    </w:pPr>
    <w:rPr>
      <w:rFonts w:ascii="Times New Roman" w:hAnsi="Times New Roman" w:cs="Times New Roman"/>
    </w:rPr>
  </w:style>
  <w:style w:type="paragraph" w:styleId="BodyText2">
    <w:name w:val="Body Text 2"/>
    <w:basedOn w:val="Normal"/>
    <w:qForma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2000-08-16T11:02:00Z</dcterms:created>
  <dc:creator>donnelcc</dc:creator>
  <dc:description/>
  <dc:language>en-CA</dc:language>
  <cp:lastModifiedBy>Arthur Andersen</cp:lastModifiedBy>
  <cp:lastPrinted>2000-08-27T13:44:00Z</cp:lastPrinted>
  <dcterms:modified xsi:type="dcterms:W3CDTF">2000-08-27T16:14:00Z</dcterms:modified>
  <cp:revision>5</cp:revision>
  <dc:subject/>
  <dc:title>Project Name</dc:title>
</cp:coreProperties>
</file>