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4"/>
        </w:rPr>
        <w:t xml:space="preserve">REVIEW OF     </w:t>
      </w:r>
      <w:r>
        <w:rPr>
          <w:rFonts w:cs="Arial" w:ascii="Arial" w:hAnsi="Arial"/>
          <w:b/>
          <w:sz w:val="24"/>
        </w:rPr>
        <w:t xml:space="preserve">Market Imperfections, Investment Optionality, and Default Spreads </w:t>
      </w:r>
      <w:r>
        <w:rPr>
          <w:b/>
          <w:sz w:val="24"/>
        </w:rPr>
        <w:t>by Titman, Tompaidis, and Tsyplakov</w:t>
      </w:r>
    </w:p>
    <w:p>
      <w:pPr>
        <w:pStyle w:val="Normal"/>
        <w:rPr>
          <w:b/>
          <w:sz w:val="24"/>
        </w:rPr>
      </w:pPr>
      <w:r>
        <w:rPr>
          <w:b/>
          <w:sz w:val="24"/>
        </w:rPr>
      </w:r>
    </w:p>
    <w:p>
      <w:pPr>
        <w:pStyle w:val="Normal"/>
        <w:rPr/>
      </w:pPr>
      <w:r>
        <w:rPr>
          <w:b/>
          <w:sz w:val="24"/>
          <w:u w:val="single"/>
        </w:rPr>
        <w:t>Summary Conclusions :</w:t>
      </w:r>
      <w:r>
        <w:rPr>
          <w:sz w:val="24"/>
        </w:rPr>
        <w:t xml:space="preserve">  </w:t>
      </w:r>
    </w:p>
    <w:p>
      <w:pPr>
        <w:pStyle w:val="Normal"/>
        <w:ind w:firstLine="720" w:end="0"/>
        <w:rPr>
          <w:sz w:val="24"/>
        </w:rPr>
      </w:pPr>
      <w:r>
        <w:rPr>
          <w:sz w:val="24"/>
        </w:rPr>
        <w:t xml:space="preserve">The authors present an interesting and quite intuitive idea for valuing collateralized debt by modeling the collateral value through active management decisions.  This contrasts with simpler models that simply value collateral using payout rate (from collateral) and volatility, and that ignore investments that can enhance the value of collateral.  </w:t>
      </w:r>
    </w:p>
    <w:p>
      <w:pPr>
        <w:pStyle w:val="Normal"/>
        <w:rPr>
          <w:sz w:val="24"/>
        </w:rPr>
      </w:pPr>
      <w:r>
        <w:rPr>
          <w:sz w:val="24"/>
        </w:rPr>
      </w:r>
    </w:p>
    <w:p>
      <w:pPr>
        <w:pStyle w:val="Normal"/>
        <w:rPr>
          <w:sz w:val="24"/>
        </w:rPr>
      </w:pPr>
      <w:r>
        <w:rPr>
          <w:sz w:val="24"/>
        </w:rPr>
        <w:tab/>
        <w:t>My main conclusion is that it would be extremely hard to model investment strategies for collateral using stochastic differential equations, primarily due to calibration issues.  Investment strategies can be modeled in dynamic programming frameworks for real option style strategies, and the authors do state the problem in this manner.  But the leap from this to a stochastic differential equation formulation requires specifying stochastic processes for each of the variables under discussion, and this seems very hard to do.</w:t>
      </w:r>
    </w:p>
    <w:p>
      <w:pPr>
        <w:pStyle w:val="Normal"/>
        <w:rPr>
          <w:sz w:val="24"/>
        </w:rPr>
      </w:pPr>
      <w:r>
        <w:rPr>
          <w:sz w:val="24"/>
        </w:rPr>
      </w:r>
    </w:p>
    <w:p>
      <w:pPr>
        <w:pStyle w:val="Normal"/>
        <w:rPr>
          <w:sz w:val="24"/>
        </w:rPr>
      </w:pPr>
      <w:r>
        <w:rPr>
          <w:sz w:val="24"/>
        </w:rPr>
        <w:tab/>
        <w:t>The authors also seem to miss the fact that modeling oil rigs or power plants requires modeling not simply cash flows but also interactions between a variety of variables such as commodity prices and weather, among others.  It is not clear how to capture this complex inter-relationship in the framework described.</w:t>
      </w:r>
    </w:p>
    <w:p>
      <w:pPr>
        <w:pStyle w:val="Normal"/>
        <w:rPr>
          <w:sz w:val="24"/>
        </w:rPr>
      </w:pPr>
      <w:r>
        <w:rPr>
          <w:sz w:val="24"/>
        </w:rPr>
      </w:r>
    </w:p>
    <w:p>
      <w:pPr>
        <w:pStyle w:val="Normal"/>
        <w:rPr>
          <w:b/>
          <w:sz w:val="24"/>
          <w:u w:val="single"/>
        </w:rPr>
      </w:pPr>
      <w:r>
        <w:rPr>
          <w:b/>
          <w:sz w:val="24"/>
          <w:u w:val="single"/>
        </w:rPr>
        <w:t>Summary Content :</w:t>
      </w:r>
    </w:p>
    <w:p>
      <w:pPr>
        <w:pStyle w:val="Normal"/>
        <w:rPr/>
      </w:pPr>
      <w:r>
        <w:rPr>
          <w:sz w:val="24"/>
        </w:rPr>
        <w:tab/>
        <w:t>“The paper develops a structural model with an endogenous investment choice which is both continuous and dynamic.”  “Default probabilities and recovery rates are determined endogenously.”  The authors distinguish between “</w:t>
      </w:r>
      <w:r>
        <w:rPr>
          <w:i/>
          <w:sz w:val="24"/>
        </w:rPr>
        <w:t>liquidity problems</w:t>
      </w:r>
      <w:r>
        <w:rPr>
          <w:sz w:val="24"/>
        </w:rPr>
        <w:t xml:space="preserve">, caused by temporary declines in cash flow, and </w:t>
      </w:r>
      <w:r>
        <w:rPr>
          <w:i/>
          <w:sz w:val="24"/>
        </w:rPr>
        <w:t>agency problems</w:t>
      </w:r>
      <w:r>
        <w:rPr>
          <w:sz w:val="24"/>
        </w:rPr>
        <w:t xml:space="preserve"> that arise when current cash flows are much higher than expected future cash flows.”</w:t>
      </w:r>
    </w:p>
    <w:p>
      <w:pPr>
        <w:pStyle w:val="Normal"/>
        <w:rPr>
          <w:sz w:val="24"/>
        </w:rPr>
      </w:pPr>
      <w:r>
        <w:rPr>
          <w:sz w:val="24"/>
        </w:rPr>
      </w:r>
    </w:p>
    <w:p>
      <w:pPr>
        <w:pStyle w:val="Normal"/>
        <w:rPr>
          <w:sz w:val="24"/>
        </w:rPr>
      </w:pPr>
      <w:r>
        <w:rPr>
          <w:sz w:val="24"/>
        </w:rPr>
        <w:tab/>
        <w:t>The authors consider three types of borrowers:</w:t>
      </w:r>
    </w:p>
    <w:p>
      <w:pPr>
        <w:pStyle w:val="Normal"/>
        <w:numPr>
          <w:ilvl w:val="0"/>
          <w:numId w:val="1"/>
        </w:numPr>
        <w:rPr>
          <w:sz w:val="24"/>
        </w:rPr>
      </w:pPr>
      <w:r>
        <w:rPr>
          <w:i/>
          <w:sz w:val="24"/>
        </w:rPr>
        <w:t>restricted borrower</w:t>
      </w:r>
      <w:r>
        <w:rPr>
          <w:sz w:val="24"/>
        </w:rPr>
        <w:t xml:space="preserve"> : who must follow the investment strategy of an unlevered owner</w:t>
      </w:r>
    </w:p>
    <w:p>
      <w:pPr>
        <w:pStyle w:val="Normal"/>
        <w:numPr>
          <w:ilvl w:val="0"/>
          <w:numId w:val="1"/>
        </w:numPr>
        <w:rPr>
          <w:sz w:val="24"/>
        </w:rPr>
      </w:pPr>
      <w:r>
        <w:rPr>
          <w:i/>
          <w:sz w:val="24"/>
        </w:rPr>
        <w:t xml:space="preserve">unrestricted borrower with deep pockets </w:t>
      </w:r>
      <w:r>
        <w:rPr>
          <w:sz w:val="24"/>
        </w:rPr>
        <w:t>: who underinvests relative to the restricted borrower, but can always find external capital</w:t>
      </w:r>
    </w:p>
    <w:p>
      <w:pPr>
        <w:pStyle w:val="Normal"/>
        <w:numPr>
          <w:ilvl w:val="0"/>
          <w:numId w:val="1"/>
        </w:numPr>
        <w:rPr>
          <w:sz w:val="24"/>
        </w:rPr>
      </w:pPr>
      <w:r>
        <w:rPr>
          <w:i/>
          <w:sz w:val="24"/>
        </w:rPr>
        <w:t xml:space="preserve">unrestricted borrower with empty pockets </w:t>
      </w:r>
      <w:r>
        <w:rPr>
          <w:sz w:val="24"/>
        </w:rPr>
        <w:t xml:space="preserve"> : who also underinvests relative to the restricted borrower, but may not find external capital, and thus default too soon.</w:t>
      </w:r>
    </w:p>
    <w:p>
      <w:pPr>
        <w:pStyle w:val="Normal"/>
        <w:rPr>
          <w:sz w:val="24"/>
        </w:rPr>
      </w:pPr>
      <w:r>
        <w:rPr>
          <w:sz w:val="24"/>
        </w:rPr>
      </w:r>
    </w:p>
    <w:p>
      <w:pPr>
        <w:pStyle w:val="Normal"/>
        <w:ind w:firstLine="360" w:start="360" w:end="0"/>
        <w:rPr/>
      </w:pPr>
      <w:r>
        <w:rPr>
          <w:sz w:val="24"/>
        </w:rPr>
        <w:t xml:space="preserve">The authors first specify how to value the unlevered collateral, and then specify how to value owner’s equity and then debt for each of the three types of borrowers above.   The optimal investment/maintenance strategy for the unlevered owner is calculated, assuming equity markets are always available to provide cash.  However, </w:t>
      </w:r>
      <w:r>
        <w:rPr>
          <w:b/>
          <w:sz w:val="24"/>
        </w:rPr>
        <w:t>maximizing risk-neutral expected profits to decide optimal strategy may be misguided</w:t>
      </w:r>
      <w:r>
        <w:rPr>
          <w:sz w:val="24"/>
        </w:rPr>
        <w:t>, because extra capital should be invested based on a risk-return tradeoff.  Incremental increase in expected return may not be sufficient compensation for high variability in equity returns.</w:t>
      </w:r>
    </w:p>
    <w:p>
      <w:pPr>
        <w:pStyle w:val="Normal"/>
        <w:ind w:start="360" w:end="0"/>
        <w:rPr>
          <w:sz w:val="24"/>
        </w:rPr>
      </w:pPr>
      <w:r>
        <w:rPr>
          <w:sz w:val="24"/>
        </w:rPr>
      </w:r>
    </w:p>
    <w:p>
      <w:pPr>
        <w:pStyle w:val="Normal"/>
        <w:ind w:start="360" w:end="0"/>
        <w:rPr>
          <w:sz w:val="24"/>
        </w:rPr>
      </w:pPr>
      <w:r>
        <w:rPr>
          <w:sz w:val="24"/>
        </w:rPr>
        <w:tab/>
        <w:t>An interesting point is that the value of debt + equity for a levered owner is not very different from the value of equity for an unlevered owner in their study.  However, the borrowing rates for (1) and (2) above are substantially different.  This point is the underpinning of the reason for this paper.</w:t>
      </w:r>
    </w:p>
    <w:p>
      <w:pPr>
        <w:pStyle w:val="Normal"/>
        <w:ind w:start="360" w:end="0"/>
        <w:rPr>
          <w:sz w:val="24"/>
        </w:rPr>
      </w:pPr>
      <w:r>
        <w:rPr>
          <w:sz w:val="24"/>
        </w:rPr>
      </w:r>
    </w:p>
    <w:p>
      <w:pPr>
        <w:pStyle w:val="Normal"/>
        <w:ind w:start="360" w:end="0"/>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6"/>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2000-10-02T12:50:00Z</dcterms:created>
  <dc:creator>vshanbh</dc:creator>
  <dc:description/>
  <dc:language>en-CA</dc:language>
  <cp:lastModifiedBy>vshanbh</cp:lastModifiedBy>
  <dcterms:modified xsi:type="dcterms:W3CDTF">2000-10-02T16:25:00Z</dcterms:modified>
  <cp:revision>5</cp:revision>
  <dc:subject/>
  <dc:title>REVIEW OF     Market Imperfections, Investment Optionality, and Default Spreads by Titman, Tompaidis, and Tsyplakov</dc:title>
</cp:coreProperties>
</file>