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«EnronEntityName»</w:t>
            </w:r>
            <w:r>
              <w:rPr>
                <w:sz w:val="20"/>
                <w:b/>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EnronLogoAddr1 </w:instrText>
            </w:r>
            <w:r>
              <w:rPr>
                <w:sz w:val="20"/>
              </w:rPr>
              <w:fldChar w:fldCharType="separate"/>
            </w:r>
            <w:r>
              <w:rPr>
                <w:sz w:val="20"/>
              </w:rPr>
              <w:t>«EnronLogoAddr1»</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EnronLogoAddr2 </w:instrText>
            </w:r>
            <w:r>
              <w:rPr>
                <w:sz w:val="20"/>
              </w:rPr>
              <w:fldChar w:fldCharType="separate"/>
            </w:r>
            <w:r>
              <w:rPr>
                <w:sz w:val="20"/>
              </w:rPr>
              <w:t>«EnronLogoAddr2»</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EnronLogoAddr3 </w:instrText>
            </w:r>
            <w:r>
              <w:rPr>
                <w:sz w:val="20"/>
              </w:rPr>
              <w:fldChar w:fldCharType="separate"/>
            </w:r>
            <w:r>
              <w:rPr>
                <w:sz w:val="20"/>
              </w:rPr>
              <w:t>«EnronLogoAddr3»</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EnronLogoTelephone </w:instrText>
            </w:r>
            <w:r>
              <w:rPr>
                <w:sz w:val="20"/>
              </w:rPr>
              <w:fldChar w:fldCharType="separate"/>
            </w:r>
            <w:r>
              <w:rPr>
                <w:sz w:val="20"/>
              </w:rPr>
              <w:t>«EnronLogoTelephone»</w:t>
            </w:r>
            <w:r>
              <w:rPr>
                <w:sz w:val="20"/>
              </w:rPr>
              <w:fldChar w:fldCharType="end"/>
            </w:r>
          </w:p>
          <w:p>
            <w:pPr>
              <w:pStyle w:val="Normal"/>
              <w:tabs>
                <w:tab w:val="clear" w:pos="720"/>
                <w:tab w:val="left" w:pos="2412" w:leader="none"/>
              </w:tabs>
              <w:ind w:start="1962" w:end="0"/>
              <w:rPr>
                <w:sz w:val="20"/>
              </w:rPr>
            </w:pPr>
            <w:r>
              <w:rPr>
                <w:sz w:val="20"/>
              </w:rPr>
              <w:fldChar w:fldCharType="begin"/>
            </w:r>
            <w:r>
              <w:rPr>
                <w:sz w:val="20"/>
              </w:rPr>
              <w:instrText xml:space="preserve"> MERGEFIELD EnronLogoFax </w:instrText>
            </w:r>
            <w:r>
              <w:rPr>
                <w:sz w:val="20"/>
              </w:rPr>
              <w:fldChar w:fldCharType="separate"/>
            </w:r>
            <w:r>
              <w:rPr>
                <w:sz w:val="20"/>
              </w:rPr>
              <w:t>«EnronLogoFax»</w:t>
            </w:r>
            <w:r>
              <w:rPr>
                <w:sz w:val="20"/>
              </w:rPr>
              <w:fldChar w:fldCharType="end"/>
            </w:r>
          </w:p>
        </w:tc>
      </w:tr>
    </w:tbl>
    <w:p>
      <w:pPr>
        <w:pStyle w:val="Normal"/>
        <w:jc w:val="center"/>
        <w:rPr>
          <w:sz w:val="20"/>
        </w:rPr>
      </w:pPr>
      <w:r>
        <w:rPr>
          <w:sz w:val="20"/>
        </w:rPr>
      </w:r>
    </w:p>
    <w:p>
      <w:pPr>
        <w:pStyle w:val="Heading4"/>
        <w:ind w:hanging="0" w:start="0"/>
        <w:rPr/>
      </w:pPr>
      <w:r>
        <w:rPr/>
        <w:t>CONFIRMATION</w:t>
      </w:r>
    </w:p>
    <w:p>
      <w:pPr>
        <w:pStyle w:val="Normal"/>
        <w:tabs>
          <w:tab w:val="clear" w:pos="720"/>
          <w:tab w:val="left" w:pos="3870" w:leader="none"/>
        </w:tabs>
        <w:jc w:val="center"/>
        <w:rPr>
          <w:sz w:val="20"/>
        </w:rPr>
      </w:pPr>
      <w:r>
        <w:rPr>
          <w:b/>
          <w:sz w:val="20"/>
        </w:rPr>
        <w:t>(SWAP)</w:t>
      </w:r>
    </w:p>
    <w:p>
      <w:pPr>
        <w:pStyle w:val="Normal"/>
        <w:tabs>
          <w:tab w:val="clear" w:pos="720"/>
          <w:tab w:val="left" w:pos="3870" w:leader="none"/>
        </w:tabs>
        <w:rPr>
          <w:sz w:val="20"/>
        </w:rPr>
      </w:pPr>
      <w:r>
        <w:rPr>
          <w:sz w:val="20"/>
        </w:rPr>
      </w:r>
    </w:p>
    <w:p>
      <w:pPr>
        <w:pStyle w:val="Normal"/>
        <w:rPr>
          <w:sz w:val="20"/>
        </w:rPr>
      </w:pPr>
      <w:r>
        <w:rPr>
          <w:sz w:val="20"/>
        </w:rPr>
        <w:t>Date:</w:t>
        <w:tab/>
        <w:tab/>
        <w:t>30 July 1999</w:t>
      </w:r>
    </w:p>
    <w:p>
      <w:pPr>
        <w:pStyle w:val="Normal"/>
        <w:rPr>
          <w:sz w:val="20"/>
        </w:rPr>
      </w:pPr>
      <w:r>
        <w:rPr>
          <w:sz w:val="20"/>
        </w:rPr>
        <w:t>To:</w:t>
        <w:tab/>
        <w:tab/>
        <w:t>Papeis Inapa S.A. (“Party B”)</w:t>
      </w:r>
    </w:p>
    <w:p>
      <w:pPr>
        <w:pStyle w:val="Normal"/>
        <w:rPr>
          <w:sz w:val="20"/>
        </w:rPr>
      </w:pPr>
      <w:r>
        <w:rPr>
          <w:sz w:val="20"/>
        </w:rPr>
        <w:t>Attention:</w:t>
        <w:tab/>
        <w:t>José Manuel Byrne</w:t>
      </w:r>
    </w:p>
    <w:p>
      <w:pPr>
        <w:pStyle w:val="Normal"/>
        <w:rPr>
          <w:sz w:val="20"/>
        </w:rPr>
      </w:pPr>
      <w:r>
        <w:rPr>
          <w:sz w:val="20"/>
        </w:rPr>
        <w:t>Fax No.:</w:t>
        <w:tab/>
        <w:tab/>
        <w:t>00 351 652 30501</w:t>
      </w:r>
    </w:p>
    <w:p>
      <w:pPr>
        <w:pStyle w:val="Normal"/>
        <w:ind w:hanging="1440" w:start="1440" w:end="0"/>
        <w:rPr>
          <w:sz w:val="20"/>
        </w:rPr>
      </w:pPr>
      <w:r>
        <w:rPr>
          <w:sz w:val="20"/>
        </w:rPr>
        <w:t>From:</w:t>
        <w:tab/>
        <w:t>Enron Capital &amp; Trade Resources International Corp. (“Party A”) as arranged by Enron Europe Finance &amp; Trading Limited</w:t>
      </w:r>
    </w:p>
    <w:p>
      <w:pPr>
        <w:pStyle w:val="Normal"/>
        <w:rPr>
          <w:sz w:val="20"/>
        </w:rPr>
      </w:pPr>
      <w:r>
        <w:rPr>
          <w:sz w:val="20"/>
        </w:rPr>
        <w:t>Re:</w:t>
        <w:tab/>
        <w:tab/>
        <w:t>Commodity Swap [TBA]</w:t>
      </w:r>
    </w:p>
    <w:p>
      <w:pPr>
        <w:pStyle w:val="Normal"/>
        <w:rPr>
          <w:sz w:val="20"/>
        </w:rPr>
      </w:pPr>
      <w:r>
        <w:rPr>
          <w:sz w:val="20"/>
        </w:rPr>
        <w:t>Contract No.:</w:t>
        <w:tab/>
        <w:t>Contract No. [TBA]</w:t>
      </w:r>
    </w:p>
    <w:p>
      <w:pPr>
        <w:pStyle w:val="Normal"/>
        <w:rPr>
          <w:sz w:val="20"/>
        </w:rPr>
      </w:pPr>
      <w:r>
        <w:rPr>
          <w:sz w:val="20"/>
        </w:rPr>
      </w:r>
    </w:p>
    <w:p>
      <w:pPr>
        <w:pStyle w:val="BodyText"/>
        <w:jc w:val="both"/>
        <w:rPr>
          <w:sz w:val="20"/>
        </w:rPr>
      </w:pPr>
      <w:r>
        <w:rPr>
          <w:sz w:val="20"/>
        </w:rPr>
        <w:t>The purpose of this letter is to confirm the terms and conditions of the Transaction entered into between us pursuant to a telephone conversation between José Manuel Byrne and Tom Bruce-Jones on the Trade Date specified below (the “Transaction”).  This letter constitutes a “Confirmation” as referred to in the ISDA Master Agreement specified below.</w:t>
      </w:r>
    </w:p>
    <w:p>
      <w:pPr>
        <w:pStyle w:val="BodyText"/>
        <w:rPr>
          <w:sz w:val="20"/>
        </w:rPr>
      </w:pPr>
      <w:r>
        <w:rPr>
          <w:sz w:val="20"/>
        </w:rPr>
      </w:r>
    </w:p>
    <w:p>
      <w:pPr>
        <w:pStyle w:val="BodyText"/>
        <w:jc w:val="both"/>
        <w:rPr>
          <w:sz w:val="20"/>
        </w:rPr>
      </w:pPr>
      <w:r>
        <w:rPr>
          <w:sz w:val="20"/>
        </w:rPr>
        <w:t>The definitions and provisions contained in the 1991 ISDA Definitions (as supplemented by the 1998 Supplement) and the 1993 ISDA Commodity Derivatives Definitions (as published by the International Swaps and Derivatives Association, Inc.) (as modified in this Confirmation as defined below) as such definitions may be amended, supplemented, replaced or modified from time to time are incorporated into this Confirmation.  In the event of any inconsistency between those definitions and provisions and this Confirmation, this Confirmation will govern.</w:t>
      </w:r>
    </w:p>
    <w:p>
      <w:pPr>
        <w:pStyle w:val="Normal"/>
        <w:jc w:val="both"/>
        <w:rPr>
          <w:sz w:val="20"/>
        </w:rPr>
      </w:pPr>
      <w:r>
        <w:rPr>
          <w:sz w:val="20"/>
        </w:rPr>
      </w:r>
    </w:p>
    <w:p>
      <w:pPr>
        <w:pStyle w:val="BodyText"/>
        <w:jc w:val="both"/>
        <w:rPr>
          <w:sz w:val="20"/>
        </w:rPr>
      </w:pPr>
      <w:r>
        <w:rPr>
          <w:sz w:val="20"/>
        </w:rPr>
        <w:t>1.</w:t>
        <w:tab/>
        <w:t>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“ISDA Form”),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except for the election of English law as the governing law and United States Dollars as the Termination Currency) on the Trade Date of the first such Transaction between us.  In the event of any inconsistency between the provisions of that agreement and this Confirmation, this Confirmation will prevail for the purpose of this Transaction.</w:t>
      </w:r>
    </w:p>
    <w:p>
      <w:pPr>
        <w:pStyle w:val="Normal"/>
        <w:jc w:val="both"/>
        <w:rPr>
          <w:sz w:val="20"/>
        </w:rPr>
      </w:pPr>
      <w:r>
        <w:rPr>
          <w:sz w:val="20"/>
        </w:rPr>
      </w:r>
    </w:p>
    <w:p>
      <w:pPr>
        <w:pStyle w:val="Normal"/>
        <w:tabs>
          <w:tab w:val="left" w:pos="720" w:leader="none"/>
        </w:tabs>
        <w:rPr>
          <w:sz w:val="20"/>
        </w:rPr>
      </w:pPr>
      <w:r>
        <w:rPr>
          <w:sz w:val="20"/>
        </w:rPr>
        <w:t>2.</w:t>
        <w:tab/>
        <w:t>The terms of the particular Transaction to which this Confirmation relates are as follows:</w:t>
      </w:r>
    </w:p>
    <w:p>
      <w:pPr>
        <w:pStyle w:val="Normal"/>
        <w:rPr>
          <w:sz w:val="20"/>
        </w:rPr>
      </w:pPr>
      <w:r>
        <w:rPr>
          <w:sz w:val="20"/>
        </w:rPr>
      </w:r>
    </w:p>
    <w:p>
      <w:pPr>
        <w:pStyle w:val="Normal"/>
        <w:rPr>
          <w:sz w:val="20"/>
        </w:rPr>
      </w:pPr>
      <w:r>
        <w:rPr>
          <w:b/>
          <w:sz w:val="20"/>
        </w:rPr>
        <w:t>General Terms:</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0"/>
              </w:rPr>
            </w:pPr>
            <w:r>
              <w:rPr>
                <w:sz w:val="20"/>
              </w:rPr>
              <w:t>Notional Quantity per</w:t>
            </w:r>
          </w:p>
          <w:p>
            <w:pPr>
              <w:pStyle w:val="Normal"/>
              <w:rPr>
                <w:sz w:val="20"/>
              </w:rPr>
            </w:pPr>
            <w:r>
              <w:rPr>
                <w:sz w:val="20"/>
              </w:rPr>
              <w:t>Calculation Period:</w:t>
            </w:r>
          </w:p>
        </w:tc>
        <w:tc>
          <w:tcPr>
            <w:tcW w:w="6102" w:type="dxa"/>
            <w:tcBorders/>
          </w:tcPr>
          <w:p>
            <w:pPr>
              <w:pStyle w:val="Normal"/>
              <w:snapToGrid w:val="false"/>
              <w:rPr>
                <w:sz w:val="20"/>
              </w:rPr>
            </w:pPr>
            <w:r>
              <w:rPr>
                <w:sz w:val="20"/>
              </w:rPr>
            </w:r>
          </w:p>
          <w:p>
            <w:pPr>
              <w:pStyle w:val="Normal"/>
              <w:rPr>
                <w:sz w:val="20"/>
              </w:rPr>
            </w:pPr>
            <w:r>
              <w:rPr>
                <w:sz w:val="20"/>
              </w:rPr>
              <w:t>1666 2/3 metric tons</w:t>
            </w:r>
          </w:p>
        </w:tc>
      </w:tr>
    </w:tbl>
    <w:p>
      <w:pPr>
        <w:pStyle w:val="Normal"/>
        <w:rPr>
          <w:sz w:val="20"/>
        </w:rPr>
      </w:pPr>
      <w:r>
        <w:rPr>
          <w:sz w:val="20"/>
        </w:rPr>
      </w:r>
    </w:p>
    <w:p>
      <w:pPr>
        <w:pStyle w:val="Normal"/>
        <w:rPr>
          <w:sz w:val="20"/>
        </w:rPr>
      </w:pPr>
      <w:r>
        <w:rPr>
          <w:sz w:val="20"/>
        </w:rPr>
        <w:t>Total Notional Quantity:</w:t>
        <w:tab/>
        <w:tab/>
        <w:tab/>
        <w:tab/>
        <w:t>10,000 metric tons</w:t>
      </w:r>
    </w:p>
    <w:p>
      <w:pPr>
        <w:pStyle w:val="Normal"/>
        <w:rPr>
          <w:sz w:val="20"/>
        </w:rPr>
      </w:pPr>
      <w:r>
        <w:rPr>
          <w:sz w:val="20"/>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Style w:val="Normal"/>
        <w:rPr>
          <w:sz w:val="20"/>
        </w:rPr>
      </w:pPr>
      <w:r>
        <w:rPr>
          <w:sz w:val="20"/>
        </w:rPr>
        <w:t>Commodity:</w:t>
        <w:tab/>
        <w:tab/>
        <w:tab/>
        <w:tab/>
        <w:tab/>
        <w:t>Bleached hardwood kraft; Eucalyptus</w:t>
        <w:tab/>
      </w:r>
    </w:p>
    <w:p>
      <w:pPr>
        <w:pStyle w:val="Normal"/>
        <w:rPr>
          <w:sz w:val="20"/>
        </w:rPr>
      </w:pPr>
      <w:r>
        <w:rPr>
          <w:sz w:val="20"/>
        </w:rPr>
      </w:r>
    </w:p>
    <w:p>
      <w:pPr>
        <w:pStyle w:val="Normal"/>
        <w:rPr>
          <w:sz w:val="20"/>
        </w:rPr>
      </w:pPr>
      <w:r>
        <w:rPr>
          <w:sz w:val="20"/>
        </w:rPr>
        <w:t>Trade Date:</w:t>
        <w:tab/>
        <w:tab/>
        <w:tab/>
        <w:tab/>
        <w:tab/>
        <w:t>[TBA]</w:t>
      </w:r>
    </w:p>
    <w:p>
      <w:pPr>
        <w:pStyle w:val="Normal"/>
        <w:rPr>
          <w:sz w:val="20"/>
        </w:rPr>
      </w:pPr>
      <w:r>
        <w:rPr>
          <w:sz w:val="20"/>
        </w:rPr>
      </w:r>
    </w:p>
    <w:p>
      <w:pPr>
        <w:pStyle w:val="Normal"/>
        <w:rPr>
          <w:sz w:val="20"/>
        </w:rPr>
      </w:pPr>
      <w:r>
        <w:rPr>
          <w:sz w:val="20"/>
        </w:rPr>
        <w:t>Effective Date:</w:t>
        <w:tab/>
        <w:tab/>
        <w:tab/>
        <w:tab/>
        <w:tab/>
        <w:t>1 August 1999</w:t>
      </w:r>
    </w:p>
    <w:p>
      <w:pPr>
        <w:pStyle w:val="Normal"/>
        <w:rPr>
          <w:sz w:val="20"/>
        </w:rPr>
      </w:pPr>
      <w:r>
        <w:rPr>
          <w:sz w:val="20"/>
        </w:rPr>
      </w:r>
    </w:p>
    <w:p>
      <w:pPr>
        <w:pStyle w:val="Normal"/>
        <w:rPr>
          <w:sz w:val="20"/>
        </w:rPr>
      </w:pPr>
      <w:r>
        <w:rPr>
          <w:sz w:val="20"/>
        </w:rPr>
        <w:t>Termination Date:</w:t>
        <w:tab/>
        <w:tab/>
        <w:tab/>
        <w:tab/>
        <w:t>31 January 2000</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61"/>
        <w:gridCol w:w="6079"/>
      </w:tblGrid>
      <w:tr>
        <w:trPr/>
        <w:tc>
          <w:tcPr>
            <w:tcW w:w="4361" w:type="dxa"/>
            <w:tcBorders/>
          </w:tcPr>
          <w:p>
            <w:pPr>
              <w:pStyle w:val="Normal"/>
              <w:jc w:val="both"/>
              <w:rPr>
                <w:sz w:val="20"/>
              </w:rPr>
            </w:pPr>
            <w:r>
              <w:rPr>
                <w:sz w:val="20"/>
              </w:rPr>
              <w:t>Calculation Period:</w:t>
            </w:r>
          </w:p>
          <w:p>
            <w:pPr>
              <w:pStyle w:val="Normal"/>
              <w:jc w:val="both"/>
              <w:rPr>
                <w:sz w:val="20"/>
              </w:rPr>
            </w:pPr>
            <w:r>
              <w:rPr>
                <w:sz w:val="20"/>
              </w:rPr>
            </w:r>
          </w:p>
        </w:tc>
        <w:tc>
          <w:tcPr>
            <w:tcW w:w="6079" w:type="dxa"/>
            <w:tcBorders/>
          </w:tcPr>
          <w:p>
            <w:pPr>
              <w:pStyle w:val="CommentText"/>
              <w:rPr/>
            </w:pPr>
            <w:r>
              <w:rPr/>
              <w:t>Each calendar month with the first Calculation Period commencing on the Effective Date and the final Calculation Period ending on the Termination Date</w:t>
            </w:r>
          </w:p>
          <w:p>
            <w:pPr>
              <w:pStyle w:val="CommentText"/>
              <w:rPr/>
            </w:pPr>
            <w:r>
              <w:rPr/>
            </w:r>
          </w:p>
        </w:tc>
      </w:tr>
      <w:tr>
        <w:trPr/>
        <w:tc>
          <w:tcPr>
            <w:tcW w:w="4361" w:type="dxa"/>
            <w:tcBorders/>
          </w:tcPr>
          <w:p>
            <w:pPr>
              <w:pStyle w:val="Normal"/>
              <w:jc w:val="both"/>
              <w:rPr>
                <w:sz w:val="20"/>
              </w:rPr>
            </w:pPr>
            <w:r>
              <w:rPr>
                <w:sz w:val="20"/>
              </w:rPr>
              <w:t>Calculation Agent:</w:t>
            </w:r>
          </w:p>
          <w:p>
            <w:pPr>
              <w:pStyle w:val="Normal"/>
              <w:jc w:val="both"/>
              <w:rPr>
                <w:sz w:val="20"/>
              </w:rPr>
            </w:pPr>
            <w:r>
              <w:rPr>
                <w:sz w:val="20"/>
              </w:rPr>
            </w:r>
          </w:p>
        </w:tc>
        <w:tc>
          <w:tcPr>
            <w:tcW w:w="6079" w:type="dxa"/>
            <w:tcBorders/>
          </w:tcPr>
          <w:p>
            <w:pPr>
              <w:pStyle w:val="CommentText"/>
              <w:rPr/>
            </w:pPr>
            <w:r>
              <w:rPr/>
              <w:t>Party A</w:t>
            </w:r>
          </w:p>
        </w:tc>
      </w:tr>
      <w:tr>
        <w:trPr/>
        <w:tc>
          <w:tcPr>
            <w:tcW w:w="4361" w:type="dxa"/>
            <w:tcBorders/>
          </w:tcPr>
          <w:p>
            <w:pPr>
              <w:pStyle w:val="Normal"/>
              <w:rPr>
                <w:sz w:val="20"/>
              </w:rPr>
            </w:pPr>
            <w:r>
              <w:rPr>
                <w:sz w:val="20"/>
              </w:rPr>
              <w:t>Payment Dates:</w:t>
            </w:r>
          </w:p>
        </w:tc>
        <w:tc>
          <w:tcPr>
            <w:tcW w:w="6079" w:type="dxa"/>
            <w:tcBorders/>
          </w:tcPr>
          <w:p>
            <w:pPr>
              <w:pStyle w:val="Normal"/>
              <w:jc w:val="both"/>
              <w:rPr>
                <w:sz w:val="20"/>
              </w:rPr>
            </w:pPr>
            <w:r>
              <w:rPr>
                <w:sz w:val="20"/>
              </w:rPr>
              <w:t>The fifth Business Day following the last Calculation Period of the preceding calendar month, subject to adjustment in accordance with the Modified Following Business Day Convention</w:t>
            </w:r>
          </w:p>
        </w:tc>
      </w:tr>
    </w:tbl>
    <w:p>
      <w:pPr>
        <w:pStyle w:val="Normal"/>
        <w:ind w:end="-270"/>
        <w:rPr>
          <w:sz w:val="20"/>
        </w:rPr>
      </w:pPr>
      <w:r>
        <w:rPr>
          <w:sz w:val="20"/>
        </w:rPr>
      </w:r>
    </w:p>
    <w:p>
      <w:pPr>
        <w:pStyle w:val="Normal"/>
        <w:rPr/>
      </w:pPr>
      <w:r>
        <w:rPr>
          <w:b/>
          <w:sz w:val="20"/>
        </w:rPr>
        <w:t>Fixed Amount Details:</w:t>
      </w:r>
      <w:r>
        <w:rPr>
          <w:sz w:val="20"/>
        </w:rPr>
        <w:tab/>
        <w:tab/>
        <w:tab/>
      </w:r>
    </w:p>
    <w:p>
      <w:pPr>
        <w:pStyle w:val="Normal"/>
        <w:rPr>
          <w:sz w:val="20"/>
        </w:rPr>
      </w:pPr>
      <w:r>
        <w:rPr>
          <w:sz w:val="20"/>
        </w:rPr>
      </w:r>
    </w:p>
    <w:p>
      <w:pPr>
        <w:pStyle w:val="Normal"/>
        <w:ind w:start="426" w:end="0"/>
        <w:rPr>
          <w:sz w:val="20"/>
        </w:rPr>
      </w:pPr>
      <w:r>
        <w:rPr>
          <w:sz w:val="20"/>
        </w:rPr>
        <w:t xml:space="preserve">Fixed Price Payer: </w:t>
        <w:tab/>
        <w:tab/>
        <w:tab/>
        <w:tab/>
        <w:t>Party B</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426" w:end="0"/>
              <w:rPr>
                <w:sz w:val="20"/>
              </w:rPr>
            </w:pPr>
            <w:r>
              <w:rPr>
                <w:sz w:val="20"/>
              </w:rPr>
              <w:t>Fixed Price:</w:t>
            </w:r>
          </w:p>
        </w:tc>
        <w:tc>
          <w:tcPr>
            <w:tcW w:w="6102" w:type="dxa"/>
            <w:tcBorders/>
          </w:tcPr>
          <w:p>
            <w:pPr>
              <w:pStyle w:val="Normal"/>
              <w:jc w:val="both"/>
              <w:rPr>
                <w:sz w:val="20"/>
              </w:rPr>
            </w:pPr>
            <w:r>
              <w:rPr>
                <w:sz w:val="20"/>
              </w:rPr>
              <w:t>Euro 490.00 per metric ton</w:t>
            </w:r>
          </w:p>
        </w:tc>
      </w:tr>
    </w:tbl>
    <w:p>
      <w:pPr>
        <w:pStyle w:val="Normal"/>
        <w:rPr>
          <w:sz w:val="20"/>
        </w:rPr>
      </w:pPr>
      <w:r>
        <w:rPr>
          <w:sz w:val="20"/>
        </w:rPr>
      </w:r>
    </w:p>
    <w:p>
      <w:pPr>
        <w:pStyle w:val="Normal"/>
        <w:rPr/>
      </w:pPr>
      <w:r>
        <w:rPr>
          <w:b/>
          <w:sz w:val="20"/>
        </w:rPr>
        <w:t>Floating Amount Details:</w:t>
      </w:r>
      <w:r>
        <w:rPr>
          <w:sz w:val="20"/>
        </w:rPr>
        <w:tab/>
        <w:tab/>
        <w:tab/>
      </w:r>
    </w:p>
    <w:p>
      <w:pPr>
        <w:pStyle w:val="Normal"/>
        <w:rPr>
          <w:sz w:val="20"/>
        </w:rPr>
      </w:pPr>
      <w:r>
        <w:rPr>
          <w:sz w:val="20"/>
        </w:rPr>
      </w:r>
    </w:p>
    <w:p>
      <w:pPr>
        <w:pStyle w:val="Normal"/>
        <w:ind w:start="426" w:end="0"/>
        <w:rPr>
          <w:sz w:val="20"/>
        </w:rPr>
      </w:pPr>
      <w:r>
        <w:rPr>
          <w:sz w:val="20"/>
        </w:rPr>
        <w:t xml:space="preserve">Floating Price Payer: </w:t>
        <w:tab/>
        <w:tab/>
        <w:tab/>
        <w:t>Party A</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61"/>
        <w:gridCol w:w="6079"/>
      </w:tblGrid>
      <w:tr>
        <w:trPr/>
        <w:tc>
          <w:tcPr>
            <w:tcW w:w="4361" w:type="dxa"/>
            <w:tcBorders/>
          </w:tcPr>
          <w:p>
            <w:pPr>
              <w:pStyle w:val="Normal"/>
              <w:ind w:start="426" w:end="0"/>
              <w:rPr>
                <w:sz w:val="20"/>
              </w:rPr>
            </w:pPr>
            <w:r>
              <w:rPr>
                <w:sz w:val="20"/>
              </w:rPr>
              <w:t>Commodity Reference Price:</w:t>
            </w:r>
          </w:p>
          <w:p>
            <w:pPr>
              <w:pStyle w:val="Normal"/>
              <w:rPr>
                <w:sz w:val="20"/>
              </w:rPr>
            </w:pPr>
            <w:r>
              <w:rPr>
                <w:sz w:val="20"/>
              </w:rPr>
            </w:r>
          </w:p>
          <w:p>
            <w:pPr>
              <w:pStyle w:val="Heading2"/>
              <w:ind w:hanging="0" w:start="851" w:end="0"/>
              <w:rPr>
                <w:b w:val="false"/>
                <w:sz w:val="20"/>
              </w:rPr>
            </w:pPr>
            <w:r>
              <w:rPr>
                <w:b w:val="false"/>
                <w:sz w:val="20"/>
              </w:rPr>
              <w:t>Commodity:</w:t>
            </w:r>
          </w:p>
          <w:p>
            <w:pPr>
              <w:pStyle w:val="Normal"/>
              <w:ind w:start="851" w:end="0"/>
              <w:rPr>
                <w:b/>
                <w:sz w:val="20"/>
              </w:rPr>
            </w:pPr>
            <w:r>
              <w:rPr>
                <w:b/>
                <w:sz w:val="20"/>
              </w:rPr>
            </w:r>
          </w:p>
          <w:p>
            <w:pPr>
              <w:pStyle w:val="Normal"/>
              <w:ind w:start="851" w:end="0"/>
              <w:rPr>
                <w:sz w:val="20"/>
              </w:rPr>
            </w:pPr>
            <w:r>
              <w:rPr>
                <w:sz w:val="20"/>
              </w:rPr>
              <w:t>Unit:</w:t>
            </w:r>
          </w:p>
          <w:p>
            <w:pPr>
              <w:pStyle w:val="Normal"/>
              <w:ind w:start="851" w:end="0"/>
              <w:rPr>
                <w:sz w:val="20"/>
              </w:rPr>
            </w:pPr>
            <w:r>
              <w:rPr>
                <w:sz w:val="20"/>
              </w:rPr>
            </w:r>
          </w:p>
          <w:p>
            <w:pPr>
              <w:pStyle w:val="Normal"/>
              <w:ind w:start="851" w:end="0"/>
              <w:rPr>
                <w:sz w:val="20"/>
              </w:rPr>
            </w:pPr>
            <w:r>
              <w:rPr>
                <w:sz w:val="20"/>
              </w:rPr>
              <w:t>Price Source:</w:t>
            </w:r>
          </w:p>
          <w:p>
            <w:pPr>
              <w:pStyle w:val="Normal"/>
              <w:ind w:start="851" w:end="0"/>
              <w:rPr>
                <w:sz w:val="20"/>
              </w:rPr>
            </w:pPr>
            <w:r>
              <w:rPr>
                <w:sz w:val="20"/>
              </w:rPr>
            </w:r>
          </w:p>
          <w:p>
            <w:pPr>
              <w:pStyle w:val="Normal"/>
              <w:ind w:start="851" w:end="0"/>
              <w:rPr>
                <w:sz w:val="20"/>
              </w:rPr>
            </w:pPr>
            <w:r>
              <w:rPr>
                <w:sz w:val="20"/>
              </w:rPr>
            </w:r>
          </w:p>
          <w:p>
            <w:pPr>
              <w:pStyle w:val="Normal"/>
              <w:ind w:start="851" w:end="0"/>
              <w:rPr>
                <w:sz w:val="20"/>
              </w:rPr>
            </w:pPr>
            <w:r>
              <w:rPr>
                <w:sz w:val="20"/>
              </w:rPr>
              <w:t>Currency:</w:t>
            </w:r>
          </w:p>
          <w:p>
            <w:pPr>
              <w:pStyle w:val="Normal"/>
              <w:ind w:start="851" w:end="0"/>
              <w:rPr>
                <w:sz w:val="20"/>
              </w:rPr>
            </w:pPr>
            <w:r>
              <w:rPr>
                <w:sz w:val="20"/>
              </w:rPr>
            </w:r>
          </w:p>
          <w:p>
            <w:pPr>
              <w:pStyle w:val="Normal"/>
              <w:ind w:start="851" w:end="0"/>
              <w:rPr>
                <w:sz w:val="20"/>
              </w:rPr>
            </w:pPr>
            <w:r>
              <w:rPr>
                <w:sz w:val="20"/>
              </w:rPr>
              <w:t>Specified Price:</w:t>
            </w:r>
          </w:p>
          <w:p>
            <w:pPr>
              <w:pStyle w:val="Normal"/>
              <w:ind w:start="851" w:end="0"/>
              <w:rPr>
                <w:sz w:val="20"/>
              </w:rPr>
            </w:pPr>
            <w:r>
              <w:rPr>
                <w:sz w:val="20"/>
              </w:rPr>
            </w:r>
          </w:p>
          <w:p>
            <w:pPr>
              <w:pStyle w:val="Normal"/>
              <w:ind w:start="851" w:end="0"/>
              <w:rPr>
                <w:sz w:val="20"/>
              </w:rPr>
            </w:pPr>
            <w:r>
              <w:rPr>
                <w:sz w:val="20"/>
              </w:rPr>
            </w:r>
          </w:p>
          <w:p>
            <w:pPr>
              <w:pStyle w:val="Normal"/>
              <w:ind w:start="851" w:end="0"/>
              <w:rPr>
                <w:sz w:val="20"/>
              </w:rPr>
            </w:pPr>
            <w:r>
              <w:rPr>
                <w:sz w:val="20"/>
              </w:rPr>
              <w:t>Pricing Date:</w:t>
            </w:r>
          </w:p>
          <w:p>
            <w:pPr>
              <w:pStyle w:val="Normal"/>
              <w:ind w:start="851" w:end="0"/>
              <w:rPr>
                <w:sz w:val="20"/>
              </w:rPr>
            </w:pPr>
            <w:r>
              <w:rPr>
                <w:sz w:val="20"/>
              </w:rPr>
            </w:r>
          </w:p>
          <w:p>
            <w:pPr>
              <w:pStyle w:val="Normal"/>
              <w:ind w:start="851" w:end="0"/>
              <w:rPr>
                <w:sz w:val="20"/>
              </w:rPr>
            </w:pPr>
            <w:r>
              <w:rPr>
                <w:sz w:val="20"/>
              </w:rPr>
            </w:r>
          </w:p>
          <w:p>
            <w:pPr>
              <w:pStyle w:val="Normal"/>
              <w:ind w:start="851" w:end="0"/>
              <w:rPr>
                <w:sz w:val="20"/>
              </w:rPr>
            </w:pPr>
            <w:r>
              <w:rPr>
                <w:sz w:val="20"/>
              </w:rPr>
            </w:r>
          </w:p>
        </w:tc>
        <w:tc>
          <w:tcPr>
            <w:tcW w:w="6079" w:type="dxa"/>
            <w:tcBorders/>
          </w:tcPr>
          <w:p>
            <w:pPr>
              <w:pStyle w:val="Normal"/>
              <w:snapToGrid w:val="false"/>
              <w:jc w:val="both"/>
              <w:rPr>
                <w:sz w:val="20"/>
              </w:rPr>
            </w:pPr>
            <w:r>
              <w:rPr>
                <w:sz w:val="20"/>
              </w:rPr>
            </w:r>
          </w:p>
          <w:p>
            <w:pPr>
              <w:pStyle w:val="Normal"/>
              <w:jc w:val="both"/>
              <w:rPr>
                <w:sz w:val="20"/>
              </w:rPr>
            </w:pPr>
            <w:r>
              <w:rPr>
                <w:sz w:val="20"/>
              </w:rPr>
            </w:r>
          </w:p>
          <w:p>
            <w:pPr>
              <w:pStyle w:val="Normal"/>
              <w:jc w:val="both"/>
              <w:rPr>
                <w:sz w:val="20"/>
              </w:rPr>
            </w:pPr>
            <w:r>
              <w:rPr>
                <w:sz w:val="20"/>
              </w:rPr>
              <w:t>Bleached hardwood kraft; Eucalyptus</w:t>
            </w:r>
          </w:p>
          <w:p>
            <w:pPr>
              <w:pStyle w:val="Normal"/>
              <w:jc w:val="both"/>
              <w:rPr>
                <w:sz w:val="20"/>
              </w:rPr>
            </w:pPr>
            <w:r>
              <w:rPr>
                <w:sz w:val="20"/>
              </w:rPr>
            </w:r>
          </w:p>
          <w:p>
            <w:pPr>
              <w:pStyle w:val="Normal"/>
              <w:jc w:val="both"/>
              <w:rPr>
                <w:sz w:val="20"/>
              </w:rPr>
            </w:pPr>
            <w:r>
              <w:rPr>
                <w:sz w:val="20"/>
              </w:rPr>
              <w:t>Metric ton</w:t>
            </w:r>
          </w:p>
          <w:p>
            <w:pPr>
              <w:pStyle w:val="Normal"/>
              <w:jc w:val="both"/>
              <w:rPr>
                <w:sz w:val="20"/>
              </w:rPr>
            </w:pPr>
            <w:r>
              <w:rPr>
                <w:sz w:val="20"/>
              </w:rPr>
            </w:r>
          </w:p>
          <w:p>
            <w:pPr>
              <w:pStyle w:val="Normal"/>
              <w:jc w:val="both"/>
              <w:rPr>
                <w:sz w:val="20"/>
              </w:rPr>
            </w:pPr>
            <w:r>
              <w:rPr>
                <w:sz w:val="20"/>
              </w:rPr>
              <w:t>PPI This Week, or any successor publication, published by Miller Freeman Inc. or its successor</w:t>
            </w:r>
          </w:p>
          <w:p>
            <w:pPr>
              <w:pStyle w:val="Normal"/>
              <w:jc w:val="both"/>
              <w:rPr>
                <w:sz w:val="20"/>
              </w:rPr>
            </w:pPr>
            <w:r>
              <w:rPr>
                <w:sz w:val="20"/>
              </w:rPr>
            </w:r>
          </w:p>
          <w:p>
            <w:pPr>
              <w:pStyle w:val="Normal"/>
              <w:jc w:val="both"/>
              <w:rPr>
                <w:sz w:val="20"/>
              </w:rPr>
            </w:pPr>
            <w:r>
              <w:rPr>
                <w:sz w:val="20"/>
              </w:rPr>
              <w:t>Euro</w:t>
            </w:r>
          </w:p>
          <w:p>
            <w:pPr>
              <w:pStyle w:val="Normal"/>
              <w:jc w:val="both"/>
              <w:rPr>
                <w:sz w:val="20"/>
              </w:rPr>
            </w:pPr>
            <w:r>
              <w:rPr>
                <w:sz w:val="20"/>
              </w:rPr>
            </w:r>
          </w:p>
          <w:p>
            <w:pPr>
              <w:pStyle w:val="Normal"/>
              <w:rPr>
                <w:sz w:val="20"/>
              </w:rPr>
            </w:pPr>
            <w:r>
              <w:rPr>
                <w:sz w:val="20"/>
              </w:rPr>
              <w:t>The low price in the range of prices published by the Price Source under the heading “France: Pricewatch (Current Year) – Market Pulp: Bleached hardwood kraft; Eucalyptus”</w:t>
            </w:r>
          </w:p>
          <w:p>
            <w:pPr>
              <w:pStyle w:val="Normal"/>
              <w:jc w:val="both"/>
              <w:rPr>
                <w:sz w:val="20"/>
              </w:rPr>
            </w:pPr>
            <w:r>
              <w:rPr>
                <w:sz w:val="20"/>
              </w:rPr>
            </w:r>
          </w:p>
          <w:p>
            <w:pPr>
              <w:pStyle w:val="Normal"/>
              <w:jc w:val="both"/>
              <w:rPr>
                <w:sz w:val="20"/>
              </w:rPr>
            </w:pPr>
            <w:r>
              <w:rPr>
                <w:sz w:val="20"/>
              </w:rPr>
              <w:t>The date on which the Specified Price for the applicable Calculation Period is first published in the Price Source</w:t>
            </w:r>
          </w:p>
        </w:tc>
      </w:tr>
      <w:tr>
        <w:trPr/>
        <w:tc>
          <w:tcPr>
            <w:tcW w:w="4361" w:type="dxa"/>
            <w:tcBorders/>
          </w:tcPr>
          <w:p>
            <w:pPr>
              <w:pStyle w:val="Normal"/>
              <w:ind w:start="426" w:end="0"/>
              <w:jc w:val="both"/>
              <w:rPr>
                <w:sz w:val="20"/>
              </w:rPr>
            </w:pPr>
            <w:r>
              <w:rPr>
                <w:sz w:val="20"/>
              </w:rPr>
              <w:t>Market Disruption:</w:t>
            </w:r>
          </w:p>
          <w:p>
            <w:pPr>
              <w:pStyle w:val="Normal"/>
              <w:ind w:start="426" w:end="0"/>
              <w:jc w:val="both"/>
              <w:rPr>
                <w:sz w:val="20"/>
              </w:rPr>
            </w:pPr>
            <w:r>
              <w:rPr>
                <w:sz w:val="20"/>
              </w:rPr>
            </w:r>
          </w:p>
        </w:tc>
        <w:tc>
          <w:tcPr>
            <w:tcW w:w="6079" w:type="dxa"/>
            <w:tcBorders/>
          </w:tcPr>
          <w:p>
            <w:pPr>
              <w:pStyle w:val="Normal"/>
              <w:tabs>
                <w:tab w:val="clear" w:pos="720"/>
                <w:tab w:val="left" w:pos="630" w:leader="none"/>
              </w:tabs>
              <w:snapToGrid w:val="false"/>
              <w:jc w:val="both"/>
              <w:rPr>
                <w:sz w:val="20"/>
              </w:rPr>
            </w:pPr>
            <w:r>
              <w:rPr>
                <w:sz w:val="20"/>
              </w:rPr>
            </w:r>
          </w:p>
        </w:tc>
      </w:tr>
      <w:tr>
        <w:trPr/>
        <w:tc>
          <w:tcPr>
            <w:tcW w:w="4361" w:type="dxa"/>
            <w:tcBorders/>
          </w:tcPr>
          <w:p>
            <w:pPr>
              <w:pStyle w:val="Normal"/>
              <w:jc w:val="both"/>
              <w:rPr>
                <w:sz w:val="20"/>
              </w:rPr>
            </w:pPr>
            <w:r>
              <w:rPr>
                <w:sz w:val="20"/>
              </w:rPr>
              <w:tab/>
              <w:t>Additional Market Disruption Event:</w:t>
            </w:r>
          </w:p>
          <w:p>
            <w:pPr>
              <w:pStyle w:val="Normal"/>
              <w:jc w:val="both"/>
              <w:rPr>
                <w:sz w:val="20"/>
              </w:rPr>
            </w:pPr>
            <w:r>
              <w:rPr>
                <w:sz w:val="20"/>
              </w:rPr>
            </w:r>
          </w:p>
          <w:p>
            <w:pPr>
              <w:pStyle w:val="Normal"/>
              <w:ind w:start="426" w:end="0"/>
              <w:jc w:val="both"/>
              <w:rPr>
                <w:sz w:val="20"/>
              </w:rPr>
            </w:pPr>
            <w:r>
              <w:rPr>
                <w:sz w:val="20"/>
              </w:rPr>
            </w:r>
          </w:p>
        </w:tc>
        <w:tc>
          <w:tcPr>
            <w:tcW w:w="6079" w:type="dxa"/>
            <w:tcBorders/>
          </w:tcPr>
          <w:p>
            <w:pPr>
              <w:pStyle w:val="Normal"/>
              <w:tabs>
                <w:tab w:val="clear" w:pos="720"/>
                <w:tab w:val="left" w:pos="630" w:leader="none"/>
              </w:tabs>
              <w:jc w:val="both"/>
              <w:rPr>
                <w:sz w:val="20"/>
              </w:rPr>
            </w:pPr>
            <w:r>
              <w:rPr>
                <w:sz w:val="20"/>
              </w:rPr>
              <w:t>There is no Specified Price for a Calculation Period in which case the Additional Disruption Fallback shall apply</w:t>
            </w:r>
          </w:p>
          <w:p>
            <w:pPr>
              <w:pStyle w:val="Normal"/>
              <w:tabs>
                <w:tab w:val="clear" w:pos="720"/>
                <w:tab w:val="left" w:pos="630" w:leader="none"/>
              </w:tabs>
              <w:jc w:val="both"/>
              <w:rPr>
                <w:sz w:val="20"/>
              </w:rPr>
            </w:pPr>
            <w:r>
              <w:rPr>
                <w:sz w:val="20"/>
              </w:rPr>
            </w:r>
          </w:p>
        </w:tc>
      </w:tr>
      <w:tr>
        <w:trPr/>
        <w:tc>
          <w:tcPr>
            <w:tcW w:w="4361" w:type="dxa"/>
            <w:tcBorders/>
          </w:tcPr>
          <w:p>
            <w:pPr>
              <w:pStyle w:val="Normal"/>
              <w:jc w:val="both"/>
              <w:rPr>
                <w:sz w:val="20"/>
              </w:rPr>
            </w:pPr>
            <w:r>
              <w:rPr>
                <w:sz w:val="20"/>
              </w:rPr>
              <w:tab/>
              <w:t>Additional Disruption Fallback:</w:t>
            </w:r>
          </w:p>
        </w:tc>
        <w:tc>
          <w:tcPr>
            <w:tcW w:w="6079" w:type="dxa"/>
            <w:tcBorders/>
          </w:tcPr>
          <w:p>
            <w:pPr>
              <w:pStyle w:val="Normal"/>
              <w:tabs>
                <w:tab w:val="clear" w:pos="720"/>
                <w:tab w:val="left" w:pos="630" w:leader="none"/>
              </w:tabs>
              <w:jc w:val="both"/>
              <w:rPr>
                <w:sz w:val="20"/>
              </w:rPr>
            </w:pPr>
            <w:r>
              <w:rPr>
                <w:sz w:val="20"/>
              </w:rPr>
              <w:t>The Calculation Agent shall determine the Relevant Price for the Calculation Period based on the Specified Price published on the date corresponding with the Pricing Date in the preceding month unless there is no Specified Price, in which case the Calculation Agent shall consider each successive previous month until there is a Specified Price.  This Additional Disruption Fallback shall only apply in respect of the Additional Market Disruption Event</w:t>
            </w:r>
          </w:p>
        </w:tc>
      </w:tr>
    </w:tbl>
    <w:p>
      <w:pPr>
        <w:pStyle w:val="Normal"/>
        <w:jc w:val="both"/>
        <w:rPr>
          <w:b/>
          <w:sz w:val="20"/>
        </w:rPr>
      </w:pPr>
      <w:r>
        <w:rPr>
          <w:b/>
          <w:sz w:val="20"/>
        </w:rPr>
      </w:r>
    </w:p>
    <w:p>
      <w:pPr>
        <w:pStyle w:val="Normal"/>
        <w:jc w:val="both"/>
        <w:rPr>
          <w:sz w:val="20"/>
        </w:rPr>
      </w:pPr>
      <w:r>
        <w:rPr>
          <w:b/>
          <w:sz w:val="20"/>
        </w:rPr>
        <w:t>Notices and Account Details:</w:t>
      </w:r>
    </w:p>
    <w:p>
      <w:pPr>
        <w:pStyle w:val="Normal"/>
        <w:jc w:val="both"/>
        <w:rPr>
          <w:sz w:val="20"/>
        </w:rPr>
      </w:pPr>
      <w:r>
        <w:rPr>
          <w:sz w:val="20"/>
        </w:rPr>
      </w:r>
    </w:p>
    <w:p>
      <w:pPr>
        <w:pStyle w:val="Normal"/>
        <w:tabs>
          <w:tab w:val="left" w:pos="720" w:leader="none"/>
          <w:tab w:val="left" w:pos="5670" w:leader="none"/>
          <w:tab w:val="left" w:pos="5954" w:leader="none"/>
        </w:tabs>
        <w:rPr/>
      </w:pPr>
      <w:r>
        <w:rPr>
          <w:sz w:val="20"/>
          <w:u w:val="single"/>
        </w:rPr>
        <w:t>Address for Notices to Party A:</w:t>
      </w:r>
      <w:r>
        <w:rPr>
          <w:sz w:val="20"/>
        </w:rPr>
        <w:tab/>
      </w:r>
      <w:r>
        <w:rPr>
          <w:sz w:val="20"/>
          <w:u w:val="single"/>
        </w:rPr>
        <w:t>Payment Account Information for Party A:</w:t>
      </w:r>
    </w:p>
    <w:p>
      <w:pPr>
        <w:pStyle w:val="Normal"/>
        <w:tabs>
          <w:tab w:val="clear" w:pos="720"/>
          <w:tab w:val="left" w:pos="2268" w:leader="none"/>
          <w:tab w:val="left" w:pos="5670" w:leader="none"/>
          <w:tab w:val="left" w:pos="8789" w:leader="none"/>
        </w:tabs>
        <w:rPr>
          <w:sz w:val="20"/>
          <w:u w:val="single"/>
        </w:rPr>
      </w:pPr>
      <w:r>
        <w:rPr>
          <w:sz w:val="20"/>
          <w:u w:val="single"/>
        </w:rPr>
      </w:r>
    </w:p>
    <w:p>
      <w:pPr>
        <w:pStyle w:val="Heading5"/>
        <w:ind w:hanging="0" w:start="0"/>
        <w:rPr>
          <w:u w:val="none"/>
        </w:rPr>
      </w:pPr>
      <w:r>
        <w:rPr>
          <w:u w:val="none"/>
        </w:rPr>
        <w:t>Enron Europe Finance &amp; Trading Limited</w:t>
        <w:tab/>
        <w:t>Wire transfer to:</w:t>
      </w:r>
    </w:p>
    <w:p>
      <w:pPr>
        <w:pStyle w:val="Normal"/>
        <w:tabs>
          <w:tab w:val="clear" w:pos="720"/>
          <w:tab w:val="left" w:pos="2268" w:leader="none"/>
          <w:tab w:val="left" w:pos="5670" w:leader="none"/>
          <w:tab w:val="left" w:pos="8789" w:leader="none"/>
        </w:tabs>
        <w:rPr>
          <w:sz w:val="20"/>
        </w:rPr>
      </w:pPr>
      <w:r>
        <w:rPr>
          <w:sz w:val="20"/>
        </w:rPr>
        <w:t>Four Millbank</w:t>
        <w:tab/>
        <w:tab/>
        <w:t>Citibank NA</w:t>
      </w:r>
    </w:p>
    <w:p>
      <w:pPr>
        <w:pStyle w:val="Normal"/>
        <w:tabs>
          <w:tab w:val="clear" w:pos="720"/>
          <w:tab w:val="left" w:pos="2268" w:leader="none"/>
          <w:tab w:val="left" w:pos="5670" w:leader="none"/>
          <w:tab w:val="left" w:pos="8789" w:leader="none"/>
        </w:tabs>
        <w:rPr>
          <w:sz w:val="20"/>
        </w:rPr>
      </w:pPr>
      <w:r>
        <w:rPr>
          <w:sz w:val="20"/>
        </w:rPr>
        <w:t>London</w:t>
        <w:tab/>
        <w:tab/>
        <w:t>Clearing Services Department</w:t>
      </w:r>
    </w:p>
    <w:p>
      <w:pPr>
        <w:pStyle w:val="Normal"/>
        <w:tabs>
          <w:tab w:val="clear" w:pos="720"/>
          <w:tab w:val="left" w:pos="2268" w:leader="none"/>
          <w:tab w:val="left" w:pos="5670" w:leader="none"/>
          <w:tab w:val="left" w:pos="8789" w:leader="none"/>
        </w:tabs>
        <w:rPr>
          <w:sz w:val="20"/>
        </w:rPr>
      </w:pPr>
      <w:r>
        <w:rPr>
          <w:sz w:val="20"/>
        </w:rPr>
        <w:t>SW1P 3ET</w:t>
        <w:tab/>
        <w:tab/>
        <w:t>Lewisham House</w:t>
      </w:r>
    </w:p>
    <w:p>
      <w:pPr>
        <w:pStyle w:val="Normal"/>
        <w:tabs>
          <w:tab w:val="clear" w:pos="720"/>
          <w:tab w:val="left" w:pos="2268" w:leader="none"/>
          <w:tab w:val="left" w:pos="5670" w:leader="none"/>
          <w:tab w:val="left" w:pos="8789" w:leader="none"/>
        </w:tabs>
        <w:rPr>
          <w:sz w:val="20"/>
        </w:rPr>
      </w:pPr>
      <w:r>
        <w:rPr>
          <w:sz w:val="20"/>
        </w:rPr>
        <w:tab/>
        <w:tab/>
        <w:t>25 Molesworth House</w:t>
      </w:r>
    </w:p>
    <w:p>
      <w:pPr>
        <w:pStyle w:val="Normal"/>
        <w:tabs>
          <w:tab w:val="clear" w:pos="720"/>
          <w:tab w:val="left" w:pos="2268" w:leader="none"/>
          <w:tab w:val="left" w:pos="5670" w:leader="none"/>
          <w:tab w:val="left" w:pos="8789" w:leader="none"/>
        </w:tabs>
        <w:rPr>
          <w:sz w:val="20"/>
        </w:rPr>
      </w:pPr>
      <w:r>
        <w:rPr>
          <w:sz w:val="20"/>
        </w:rPr>
        <w:t>Attention: Documentation Dept</w:t>
        <w:tab/>
        <w:t>London SE13 7EX</w:t>
      </w:r>
    </w:p>
    <w:p>
      <w:pPr>
        <w:pStyle w:val="Normal"/>
        <w:tabs>
          <w:tab w:val="clear" w:pos="720"/>
          <w:tab w:val="left" w:pos="2268" w:leader="none"/>
          <w:tab w:val="left" w:pos="5670" w:leader="none"/>
          <w:tab w:val="left" w:pos="8789" w:leader="none"/>
        </w:tabs>
        <w:rPr>
          <w:sz w:val="20"/>
        </w:rPr>
      </w:pPr>
      <w:r>
        <w:rPr>
          <w:sz w:val="20"/>
        </w:rPr>
        <w:t>Fax: 44 171 873 0147</w:t>
        <w:tab/>
        <w:tab/>
        <w:t>Swift Code: CITIGB2L</w:t>
      </w:r>
    </w:p>
    <w:p>
      <w:pPr>
        <w:pStyle w:val="Normal"/>
        <w:tabs>
          <w:tab w:val="clear" w:pos="720"/>
          <w:tab w:val="left" w:pos="2268" w:leader="none"/>
          <w:tab w:val="left" w:pos="5670" w:leader="none"/>
          <w:tab w:val="left" w:pos="8789" w:leader="none"/>
        </w:tabs>
        <w:rPr>
          <w:sz w:val="20"/>
        </w:rPr>
      </w:pPr>
      <w:r>
        <w:rPr>
          <w:sz w:val="20"/>
        </w:rPr>
        <w:t>Phone: 44 171 316 5300</w:t>
        <w:tab/>
        <w:tab/>
        <w:t>Acct. No: 8472637</w:t>
      </w:r>
    </w:p>
    <w:p>
      <w:pPr>
        <w:pStyle w:val="Normal"/>
        <w:tabs>
          <w:tab w:val="clear" w:pos="720"/>
          <w:tab w:val="left" w:pos="2268" w:leader="none"/>
          <w:tab w:val="left" w:pos="5670" w:leader="none"/>
          <w:tab w:val="left" w:pos="8789" w:leader="none"/>
        </w:tabs>
        <w:rPr>
          <w:sz w:val="20"/>
          <w:u w:val="single"/>
        </w:rPr>
      </w:pPr>
      <w:r>
        <w:rPr>
          <w:sz w:val="20"/>
          <w:u w:val="single"/>
        </w:rPr>
      </w:r>
    </w:p>
    <w:p>
      <w:pPr>
        <w:pStyle w:val="Normal"/>
        <w:tabs>
          <w:tab w:val="clear" w:pos="720"/>
          <w:tab w:val="left" w:pos="2268" w:leader="none"/>
          <w:tab w:val="left" w:pos="5670" w:leader="none"/>
          <w:tab w:val="left" w:pos="8789" w:leader="none"/>
        </w:tabs>
        <w:rPr>
          <w:sz w:val="20"/>
          <w:u w:val="single"/>
        </w:rPr>
      </w:pPr>
      <w:r>
        <w:rPr>
          <w:sz w:val="20"/>
          <w:u w:val="single"/>
        </w:rPr>
      </w:r>
    </w:p>
    <w:p>
      <w:pPr>
        <w:pStyle w:val="Normal"/>
        <w:tabs>
          <w:tab w:val="left" w:pos="720" w:leader="none"/>
          <w:tab w:val="left" w:pos="3960" w:leader="none"/>
          <w:tab w:val="left" w:pos="4320" w:leader="none"/>
          <w:tab w:val="left" w:pos="7200" w:leader="none"/>
          <w:tab w:val="left" w:pos="7920" w:leader="none"/>
        </w:tabs>
        <w:rPr>
          <w:sz w:val="20"/>
        </w:rPr>
      </w:pPr>
      <w:r>
        <w:rPr>
          <w:sz w:val="20"/>
        </w:rPr>
        <w:t>With a copy of any notice given pursuant to Section 5 or 6 of the ISDA Form or any annex thereto or hereto containing credit provisions to:</w:t>
      </w:r>
    </w:p>
    <w:p>
      <w:pPr>
        <w:pStyle w:val="Normal"/>
        <w:tabs>
          <w:tab w:val="left" w:pos="720" w:leader="none"/>
          <w:tab w:val="left" w:pos="3960" w:leader="none"/>
          <w:tab w:val="left" w:pos="4320" w:leader="none"/>
          <w:tab w:val="left" w:pos="7200" w:leader="none"/>
          <w:tab w:val="left" w:pos="7920" w:leader="none"/>
        </w:tabs>
        <w:rPr>
          <w:sz w:val="20"/>
        </w:rPr>
      </w:pPr>
      <w:r>
        <w:rPr>
          <w:sz w:val="20"/>
        </w:rPr>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Enron Capital &amp; Trade Resources Corp.</w:t>
        <w:tab/>
        <w:tab/>
        <w:tab/>
        <w:t>and to:</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1400 Smith Street</w:t>
        <w:tab/>
        <w:tab/>
        <w:tab/>
        <w:t>Enron Europe Finance &amp;</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Houston, Texas 77002</w:t>
        <w:tab/>
        <w:tab/>
        <w:tab/>
        <w:t>Trading Limited</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Attn: Assistant General Counsel,</w:t>
        <w:tab/>
        <w:tab/>
        <w:tab/>
        <w:t>Four Millbank</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Trading Group</w:t>
        <w:tab/>
        <w:tab/>
        <w:tab/>
        <w:t>London SW1P 3ET</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Fax: 171 3646 4818</w:t>
        <w:tab/>
        <w:tab/>
        <w:tab/>
        <w:t>Attention: Company Secretary</w:t>
      </w:r>
    </w:p>
    <w:p>
      <w:pPr>
        <w:pStyle w:val="Normal"/>
        <w:tabs>
          <w:tab w:val="left" w:pos="720" w:leader="none"/>
          <w:tab w:val="left" w:pos="5670" w:leader="none"/>
        </w:tabs>
        <w:rPr>
          <w:sz w:val="20"/>
        </w:rPr>
      </w:pPr>
      <w:r>
        <w:rPr>
          <w:sz w:val="20"/>
        </w:rPr>
        <w:tab/>
        <w:tab/>
        <w:t>Fax: 44 171 316 5473</w:t>
      </w:r>
    </w:p>
    <w:p>
      <w:pPr>
        <w:pStyle w:val="Normal"/>
        <w:tabs>
          <w:tab w:val="left" w:pos="720" w:leader="none"/>
          <w:tab w:val="left" w:pos="5670" w:leader="none"/>
        </w:tabs>
        <w:rPr>
          <w:sz w:val="20"/>
        </w:rPr>
      </w:pPr>
      <w:r>
        <w:rPr>
          <w:sz w:val="20"/>
        </w:rPr>
        <w:tab/>
        <w:tab/>
        <w:t>Phone: 44 171 316 5300</w:t>
      </w:r>
    </w:p>
    <w:p>
      <w:pPr>
        <w:pStyle w:val="Normal"/>
        <w:tabs>
          <w:tab w:val="left" w:pos="720" w:leader="none"/>
          <w:tab w:val="left" w:pos="5670" w:leader="none"/>
        </w:tabs>
        <w:rPr>
          <w:sz w:val="20"/>
        </w:rPr>
      </w:pPr>
      <w:r>
        <w:rPr>
          <w:sz w:val="20"/>
        </w:rPr>
      </w:r>
    </w:p>
    <w:p>
      <w:pPr>
        <w:pStyle w:val="Normal"/>
        <w:tabs>
          <w:tab w:val="left" w:pos="720" w:leader="none"/>
          <w:tab w:val="left" w:pos="5670" w:leader="none"/>
        </w:tabs>
        <w:rPr>
          <w:sz w:val="20"/>
        </w:rPr>
      </w:pPr>
      <w:r>
        <w:rPr>
          <w:sz w:val="20"/>
          <w:u w:val="single"/>
        </w:rPr>
        <w:t>Address for Notices to Party B:</w:t>
      </w:r>
      <w:r>
        <w:rPr>
          <w:sz w:val="20"/>
        </w:rPr>
        <w:tab/>
      </w:r>
      <w:r>
        <w:rPr>
          <w:sz w:val="20"/>
          <w:u w:val="single"/>
        </w:rPr>
        <w:t>Payment Account Information for Party B:</w:t>
      </w:r>
    </w:p>
    <w:p>
      <w:pPr>
        <w:pStyle w:val="Normal"/>
        <w:tabs>
          <w:tab w:val="clear" w:pos="720"/>
          <w:tab w:val="left" w:pos="2268" w:leader="none"/>
          <w:tab w:val="left" w:pos="5670" w:leader="none"/>
          <w:tab w:val="left" w:pos="8789" w:leader="none"/>
        </w:tabs>
        <w:rPr>
          <w:sz w:val="20"/>
          <w:u w:val="single"/>
        </w:rPr>
      </w:pPr>
      <w:r>
        <w:rPr>
          <w:sz w:val="20"/>
          <w:u w:val="single"/>
        </w:rPr>
      </w:r>
    </w:p>
    <w:p>
      <w:pPr>
        <w:pStyle w:val="Normal"/>
        <w:tabs>
          <w:tab w:val="clear" w:pos="720"/>
          <w:tab w:val="left" w:pos="2268" w:leader="none"/>
          <w:tab w:val="left" w:pos="5670" w:leader="none"/>
          <w:tab w:val="left" w:pos="8789" w:leader="none"/>
        </w:tabs>
        <w:rPr>
          <w:sz w:val="20"/>
        </w:rPr>
      </w:pPr>
      <w:r>
        <w:rPr>
          <w:sz w:val="20"/>
        </w:rPr>
        <w:t>Papeis Inapa S.A.</w:t>
        <w:tab/>
        <w:tab/>
        <w:t>Banco Pinto Sotto Mayor</w:t>
      </w:r>
    </w:p>
    <w:p>
      <w:pPr>
        <w:pStyle w:val="Normal"/>
        <w:tabs>
          <w:tab w:val="clear" w:pos="720"/>
          <w:tab w:val="left" w:pos="2268" w:leader="none"/>
          <w:tab w:val="left" w:pos="5670" w:leader="none"/>
          <w:tab w:val="left" w:pos="8789" w:leader="none"/>
        </w:tabs>
        <w:rPr>
          <w:sz w:val="20"/>
          <w:u w:val="single"/>
        </w:rPr>
      </w:pPr>
      <w:r>
        <w:rPr>
          <w:sz w:val="20"/>
        </w:rPr>
        <w:t>Apartado 6</w:t>
        <w:tab/>
        <w:tab/>
        <w:t>Av. Luisa Tody</w:t>
      </w:r>
    </w:p>
    <w:p>
      <w:pPr>
        <w:pStyle w:val="Normal"/>
        <w:tabs>
          <w:tab w:val="clear" w:pos="720"/>
          <w:tab w:val="left" w:pos="2268" w:leader="none"/>
          <w:tab w:val="left" w:pos="5670" w:leader="none"/>
          <w:tab w:val="left" w:pos="8789" w:leader="none"/>
        </w:tabs>
        <w:rPr>
          <w:sz w:val="20"/>
          <w:u w:val="single"/>
        </w:rPr>
      </w:pPr>
      <w:r>
        <w:rPr>
          <w:sz w:val="20"/>
        </w:rPr>
        <w:t>2901 Setubal Codex</w:t>
        <w:tab/>
        <w:tab/>
        <w:t>2900 Setubal</w:t>
      </w:r>
    </w:p>
    <w:p>
      <w:pPr>
        <w:pStyle w:val="Normal"/>
        <w:tabs>
          <w:tab w:val="clear" w:pos="720"/>
          <w:tab w:val="left" w:pos="2268" w:leader="none"/>
          <w:tab w:val="left" w:pos="5670" w:leader="none"/>
          <w:tab w:val="left" w:pos="8789" w:leader="none"/>
        </w:tabs>
        <w:rPr>
          <w:sz w:val="20"/>
          <w:u w:val="single"/>
        </w:rPr>
      </w:pPr>
      <w:r>
        <w:rPr>
          <w:sz w:val="20"/>
        </w:rPr>
        <w:t>Portugal</w:t>
        <w:tab/>
        <w:tab/>
        <w:t>Portugal</w:t>
      </w:r>
    </w:p>
    <w:p>
      <w:pPr>
        <w:pStyle w:val="Normal"/>
        <w:tabs>
          <w:tab w:val="clear" w:pos="720"/>
          <w:tab w:val="left" w:pos="2268" w:leader="none"/>
          <w:tab w:val="left" w:pos="5670" w:leader="none"/>
          <w:tab w:val="left" w:pos="8789" w:leader="none"/>
        </w:tabs>
        <w:rPr>
          <w:sz w:val="20"/>
        </w:rPr>
      </w:pPr>
      <w:r>
        <w:rPr/>
        <w:tab/>
        <w:tab/>
      </w:r>
      <w:r>
        <w:rPr>
          <w:sz w:val="20"/>
        </w:rPr>
        <w:t>Acc. No.</w:t>
      </w:r>
      <w:r>
        <w:rPr/>
        <w:t xml:space="preserve"> </w:t>
      </w:r>
      <w:r>
        <w:rPr>
          <w:color w:val="000000"/>
          <w:sz w:val="20"/>
          <w:lang w:val="en-AU" w:eastAsia="en-US"/>
        </w:rPr>
        <w:t>001500780040002255352</w:t>
      </w:r>
    </w:p>
    <w:p>
      <w:pPr>
        <w:pStyle w:val="CommentText"/>
        <w:tabs>
          <w:tab w:val="clear" w:pos="720"/>
          <w:tab w:val="left" w:pos="993" w:leader="none"/>
          <w:tab w:val="left" w:pos="2835" w:leader="none"/>
          <w:tab w:val="left" w:pos="4320" w:leader="none"/>
          <w:tab w:val="left" w:pos="5670" w:leader="none"/>
          <w:tab w:val="left" w:pos="7200" w:leader="none"/>
          <w:tab w:val="left" w:pos="7920" w:leader="none"/>
        </w:tabs>
        <w:rPr>
          <w:sz w:val="20"/>
        </w:rPr>
      </w:pPr>
      <w:r>
        <w:rPr>
          <w:sz w:val="20"/>
        </w:rPr>
      </w:r>
    </w:p>
    <w:p>
      <w:pPr>
        <w:pStyle w:val="CommentText"/>
        <w:tabs>
          <w:tab w:val="clear" w:pos="720"/>
          <w:tab w:val="left" w:pos="993" w:leader="none"/>
          <w:tab w:val="left" w:pos="2835" w:leader="none"/>
          <w:tab w:val="left" w:pos="4320" w:leader="none"/>
          <w:tab w:val="left" w:pos="5670" w:leader="none"/>
          <w:tab w:val="left" w:pos="7200" w:leader="none"/>
          <w:tab w:val="left" w:pos="7920" w:leader="none"/>
        </w:tabs>
        <w:rPr/>
      </w:pPr>
      <w:r>
        <w:rPr/>
        <w:t>Attention:</w:t>
        <w:tab/>
        <w:t>José Manuel Byrne (Administrator)</w:t>
        <w:tab/>
        <w:tab/>
        <w:tab/>
      </w:r>
    </w:p>
    <w:p>
      <w:pPr>
        <w:pStyle w:val="Normal"/>
        <w:tabs>
          <w:tab w:val="clear" w:pos="720"/>
          <w:tab w:val="left" w:pos="993" w:leader="none"/>
          <w:tab w:val="left" w:pos="2835" w:leader="none"/>
          <w:tab w:val="left" w:pos="4320" w:leader="none"/>
          <w:tab w:val="left" w:pos="7200" w:leader="none"/>
          <w:tab w:val="left" w:pos="7920" w:leader="none"/>
        </w:tabs>
        <w:rPr>
          <w:sz w:val="20"/>
        </w:rPr>
      </w:pPr>
      <w:r>
        <w:rPr>
          <w:sz w:val="20"/>
        </w:rPr>
        <w:t>Fax:</w:t>
        <w:tab/>
        <w:t>00 351 65 230501</w:t>
        <w:tab/>
      </w:r>
    </w:p>
    <w:p>
      <w:pPr>
        <w:pStyle w:val="Normal"/>
        <w:tabs>
          <w:tab w:val="clear" w:pos="720"/>
          <w:tab w:val="left" w:pos="993" w:leader="none"/>
          <w:tab w:val="left" w:pos="2835" w:leader="none"/>
          <w:tab w:val="left" w:pos="4320" w:leader="none"/>
          <w:tab w:val="left" w:pos="7200" w:leader="none"/>
          <w:tab w:val="left" w:pos="7920" w:leader="none"/>
        </w:tabs>
        <w:rPr>
          <w:sz w:val="20"/>
        </w:rPr>
      </w:pPr>
      <w:r>
        <w:rPr>
          <w:sz w:val="20"/>
        </w:rPr>
        <w:t>Phone:</w:t>
        <w:tab/>
        <w:t>00 351 65 700511</w:t>
      </w:r>
    </w:p>
    <w:p>
      <w:pPr>
        <w:pStyle w:val="Normal"/>
        <w:tabs>
          <w:tab w:val="clear" w:pos="720"/>
          <w:tab w:val="left" w:pos="2268" w:leader="none"/>
          <w:tab w:val="left" w:pos="5670" w:leader="none"/>
          <w:tab w:val="left" w:pos="8789" w:leader="none"/>
        </w:tabs>
        <w:rPr>
          <w:sz w:val="20"/>
        </w:rPr>
      </w:pPr>
      <w:r>
        <w:rPr/>
        <w:tab/>
      </w:r>
    </w:p>
    <w:p>
      <w:pPr>
        <w:pStyle w:val="Normal"/>
        <w:jc w:val="both"/>
        <w:rPr>
          <w:sz w:val="20"/>
        </w:rPr>
      </w:pPr>
      <w:r>
        <w:rPr>
          <w:b/>
          <w:sz w:val="20"/>
        </w:rPr>
        <w:t>Additional Provisions:</w:t>
      </w:r>
    </w:p>
    <w:p>
      <w:pPr>
        <w:pStyle w:val="BodyTextIndent"/>
        <w:tabs>
          <w:tab w:val="clear" w:pos="720"/>
          <w:tab w:val="left" w:pos="567" w:leader="none"/>
        </w:tabs>
        <w:rPr>
          <w:sz w:val="20"/>
        </w:rPr>
      </w:pPr>
      <w:r>
        <w:rPr>
          <w:sz w:val="20"/>
        </w:rPr>
      </w:r>
    </w:p>
    <w:p>
      <w:pPr>
        <w:pStyle w:val="BodyTextIndent"/>
        <w:tabs>
          <w:tab w:val="clear" w:pos="720"/>
          <w:tab w:val="left" w:pos="567" w:leader="none"/>
        </w:tabs>
        <w:rPr>
          <w:sz w:val="20"/>
        </w:rPr>
      </w:pPr>
      <w:r>
        <w:rPr>
          <w:sz w:val="20"/>
        </w:rPr>
        <w:t>(a)</w:t>
        <w:tab/>
        <w:t>No party shall be required to pay special, exemplary, punitive, incidental, consequential or indirect damages (whether or not arising from a party's negligence) to the other party; provided, however, that nothing in this provision shall affect the enforceability of Section 6(e) of the ISDA Form.  If and to the extent any payment made pursuant to this Transaction and Confirmation is deemed to constitute liquidated damages, the parties acknowledge and agree that damages are difficult or impossible to determine and that such payment constitutes a reasonable approximation of the amount of such damages, and not a penalty.</w:t>
        <w:tab/>
      </w:r>
    </w:p>
    <w:p>
      <w:pPr>
        <w:pStyle w:val="Normal"/>
        <w:spacing w:lineRule="exact" w:line="240" w:before="240" w:after="0"/>
        <w:ind w:hanging="567" w:start="567" w:end="0"/>
        <w:jc w:val="both"/>
        <w:rPr>
          <w:sz w:val="20"/>
        </w:rPr>
      </w:pPr>
      <w:r>
        <w:rPr>
          <w:sz w:val="20"/>
        </w:rPr>
        <w:t>(b)</w:t>
        <w:tab/>
        <w:t>Each party represents to the other party that:</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Line of Business.</w:t>
      </w:r>
      <w:r>
        <w:rPr>
          <w:sz w:val="20"/>
        </w:rPr>
        <w:t xml:space="preserve"> It is entering into this Transaction, including without limitation, any Credit Support Document to which it is a party and each Transaction, in conjunction with its line of business (including financial intermediation services) or the financing of its business;</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Eligible Swap Participant.</w:t>
      </w:r>
      <w:r>
        <w:rPr>
          <w:sz w:val="20"/>
        </w:rPr>
        <w:t xml:space="preserve">  It constitutes an “eligible swap participant” as such term is defined in Rule 35.1(b)(2) of the Commodity Futures Trading Commission, 17 C.F.R. § 35.1(b)(2) (1993);</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Standardisation and Creditworthiness.</w:t>
      </w:r>
      <w:r>
        <w:rPr>
          <w:sz w:val="20"/>
        </w:rPr>
        <w:t xml:space="preserve">  The economic terms of this Transaction and any Credit Support Document to which it is a party have been individually tailored and negotiated by it; the creditworthiness of the other party was a material consideration in its entering into or determining the terms of this Transaction and such Credit Support Document; and</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No Reliance.</w:t>
      </w:r>
      <w:r>
        <w:rPr>
          <w:sz w:val="20"/>
        </w:rPr>
        <w:t xml:space="preserve">  In connection with this Transaction and any Credit Support Document to which it is a party:  (1) it is acting as principal; (2) the other party is not acting as a fiduciary or financial or investment advisor for it; (3) it is not relying upon any representations (whether written or oral) of the other party other than the representations expressly set forth in this Confirmation and in such Credit Support Document; (4)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Transaction and such Credit Support Document; (5)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(6) its decisions have been the result of arm’s length negotiations between the parties; and (7) it is entering into this Transaction and such Credit Support Document with a full understanding of all of the risks hereof and thereof (economic and otherwise), and it is capable of assuming and willing to assume those risks.</w:t>
      </w:r>
    </w:p>
    <w:p>
      <w:pPr>
        <w:pStyle w:val="Normal"/>
        <w:tabs>
          <w:tab w:val="clear" w:pos="720"/>
          <w:tab w:val="left" w:pos="567" w:leader="none"/>
        </w:tabs>
        <w:spacing w:lineRule="exact" w:line="240" w:before="240" w:after="0"/>
        <w:ind w:hanging="567" w:start="567" w:end="0"/>
        <w:jc w:val="both"/>
        <w:rPr/>
      </w:pPr>
      <w:r>
        <w:rPr>
          <w:sz w:val="20"/>
        </w:rPr>
        <w:t>(c)</w:t>
        <w:tab/>
      </w:r>
      <w:r>
        <w:rPr>
          <w:b/>
          <w:sz w:val="20"/>
        </w:rPr>
        <w:t>Setoff.</w:t>
      </w:r>
      <w:r>
        <w:rPr>
          <w:sz w:val="20"/>
        </w:rPr>
        <w:t xml:space="preserve"> Without affecting or prejudicing the provisions of this Agreement requiring the calculation and payment of certain net payment amounts on Scheduled Payment Dates, all payments will be made without setoff or counterclaim; </w:t>
      </w:r>
      <w:r>
        <w:rPr>
          <w:sz w:val="20"/>
          <w:u w:val="single"/>
        </w:rPr>
        <w:t>provided</w:t>
      </w:r>
      <w:r>
        <w:rPr>
          <w:sz w:val="20"/>
        </w:rPr>
        <w:t xml:space="preserve">, </w:t>
      </w:r>
      <w:r>
        <w:rPr>
          <w:sz w:val="20"/>
          <w:u w:val="single"/>
        </w:rPr>
        <w:t>however</w:t>
      </w:r>
      <w:r>
        <w:rPr>
          <w:i/>
          <w:sz w:val="20"/>
        </w:rPr>
        <w:t>,</w:t>
      </w:r>
      <w:r>
        <w:rPr>
          <w:sz w:val="20"/>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hanging="567" w:start="567" w:end="0"/>
        <w:jc w:val="both"/>
        <w:rPr>
          <w:b/>
          <w:sz w:val="20"/>
        </w:rPr>
      </w:pPr>
      <w:r>
        <w:rPr>
          <w:b/>
          <w:sz w:val="20"/>
        </w:rPr>
      </w:r>
    </w:p>
    <w:p>
      <w:pPr>
        <w:pStyle w:val="Normal"/>
        <w:tabs>
          <w:tab w:val="clear" w:pos="720"/>
          <w:tab w:val="left" w:pos="567" w:leader="none"/>
        </w:tabs>
        <w:ind w:hanging="567" w:start="567" w:end="0"/>
        <w:jc w:val="both"/>
        <w:rPr/>
      </w:pPr>
      <w:r>
        <w:rPr>
          <w:sz w:val="20"/>
        </w:rPr>
        <w:t>(d)</w:t>
        <w:tab/>
        <w:t xml:space="preserve">The </w:t>
      </w:r>
      <w:r>
        <w:rPr>
          <w:b/>
          <w:sz w:val="20"/>
        </w:rPr>
        <w:t>“Automatic Early Termination”</w:t>
      </w:r>
      <w:r>
        <w:rPr>
          <w:sz w:val="20"/>
        </w:rPr>
        <w:t xml:space="preserve"> provision of Section 6(a) will not apply to Party A and to Party B.</w:t>
      </w:r>
    </w:p>
    <w:p>
      <w:pPr>
        <w:pStyle w:val="Normal"/>
        <w:jc w:val="both"/>
        <w:rPr>
          <w:b/>
          <w:sz w:val="20"/>
        </w:rPr>
      </w:pPr>
      <w:r>
        <w:rPr>
          <w:b/>
          <w:sz w:val="20"/>
        </w:rPr>
      </w:r>
    </w:p>
    <w:p>
      <w:pPr>
        <w:pStyle w:val="Normal"/>
        <w:jc w:val="both"/>
        <w:rPr>
          <w:b/>
          <w:sz w:val="20"/>
        </w:rPr>
      </w:pPr>
      <w:r>
        <w:rPr>
          <w:b/>
          <w:sz w:val="20"/>
        </w:rPr>
        <w:t>Additional Provisions For Commodity Derivatives Transactions:</w:t>
      </w:r>
    </w:p>
    <w:p>
      <w:pPr>
        <w:pStyle w:val="Normal"/>
        <w:jc w:val="both"/>
        <w:rPr>
          <w:b/>
          <w:sz w:val="20"/>
        </w:rPr>
      </w:pPr>
      <w:r>
        <w:rPr>
          <w:b/>
          <w:sz w:val="20"/>
        </w:rPr>
      </w:r>
    </w:p>
    <w:p>
      <w:pPr>
        <w:pStyle w:val="BodyText2"/>
        <w:ind w:hanging="567" w:start="567" w:end="0"/>
        <w:rPr>
          <w:sz w:val="20"/>
        </w:rPr>
      </w:pPr>
      <w:r>
        <w:rPr>
          <w:sz w:val="20"/>
        </w:rPr>
        <w:t>(a)</w:t>
        <w:tab/>
        <w:t>In lieu of Section 7.4(d) of the Commodity Definitions, the “Market Disruption Events” specified in Section 7.4(c)(i), (c)(ii), (c)(iii), (c)(iv), (c)(v) and (c)(viii) of the Commodity Definitions shall apply.</w:t>
      </w:r>
    </w:p>
    <w:p>
      <w:pPr>
        <w:pStyle w:val="Normal"/>
        <w:jc w:val="both"/>
        <w:rPr>
          <w:sz w:val="20"/>
        </w:rPr>
      </w:pPr>
      <w:r>
        <w:rPr>
          <w:sz w:val="20"/>
        </w:rPr>
      </w:r>
    </w:p>
    <w:p>
      <w:pPr>
        <w:pStyle w:val="BodyTextIndent"/>
        <w:rPr>
          <w:sz w:val="20"/>
        </w:rPr>
      </w:pPr>
      <w:r>
        <w:rPr>
          <w:sz w:val="20"/>
        </w:rPr>
        <w:t>(b)</w:t>
        <w:tab/>
        <w:t>Clause (viii) of Section 7.4(c) of the Commodity Definitions (Trading Limitation) is hereby amended by the addition of the following:</w:t>
      </w:r>
    </w:p>
    <w:p>
      <w:pPr>
        <w:pStyle w:val="Normal"/>
        <w:jc w:val="both"/>
        <w:rPr>
          <w:sz w:val="20"/>
        </w:rPr>
      </w:pPr>
      <w:r>
        <w:rPr>
          <w:sz w:val="20"/>
        </w:rPr>
      </w:r>
    </w:p>
    <w:p>
      <w:pPr>
        <w:pStyle w:val="BodyTextIndent2"/>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jc w:val="both"/>
        <w:rPr>
          <w:sz w:val="20"/>
        </w:rPr>
      </w:pPr>
      <w:r>
        <w:rPr>
          <w:sz w:val="20"/>
        </w:rPr>
      </w:r>
    </w:p>
    <w:p>
      <w:pPr>
        <w:pStyle w:val="BodyTextIndent"/>
        <w:numPr>
          <w:ilvl w:val="0"/>
          <w:numId w:val="2"/>
        </w:numPr>
        <w:rPr>
          <w:sz w:val="20"/>
        </w:rPr>
      </w:pPr>
      <w:r>
        <w:rPr>
          <w:sz w:val="20"/>
        </w:rPr>
        <w:t>Section 7.5(e) of the Commodity Definitions is hereby deleted.</w:t>
      </w:r>
    </w:p>
    <w:p>
      <w:pPr>
        <w:pStyle w:val="BodyTextIndent"/>
        <w:rPr>
          <w:sz w:val="20"/>
        </w:rPr>
      </w:pPr>
      <w:r>
        <w:rPr>
          <w:sz w:val="20"/>
        </w:rPr>
      </w:r>
    </w:p>
    <w:p>
      <w:pPr>
        <w:pStyle w:val="BodyTextIndent"/>
        <w:numPr>
          <w:ilvl w:val="0"/>
          <w:numId w:val="2"/>
        </w:numPr>
        <w:rPr>
          <w:sz w:val="20"/>
        </w:rPr>
      </w:pPr>
      <w:r>
        <w:rPr>
          <w:sz w:val="20"/>
        </w:rPr>
        <w:t>“</w:t>
      </w:r>
      <w:r>
        <w:rPr>
          <w:sz w:val="20"/>
        </w:rPr>
        <w:t>Additional Market Disruption Events”: none.</w:t>
      </w:r>
    </w:p>
    <w:p>
      <w:pPr>
        <w:pStyle w:val="BodyTextIndent"/>
        <w:ind w:hanging="0" w:start="0" w:end="0"/>
        <w:rPr>
          <w:sz w:val="20"/>
        </w:rPr>
      </w:pPr>
      <w:r>
        <w:rPr>
          <w:sz w:val="20"/>
        </w:rPr>
      </w:r>
    </w:p>
    <w:p>
      <w:pPr>
        <w:pStyle w:val="BodyTextIndent"/>
        <w:numPr>
          <w:ilvl w:val="0"/>
          <w:numId w:val="2"/>
        </w:numPr>
        <w:rPr>
          <w:sz w:val="20"/>
        </w:rPr>
      </w:pPr>
      <w:r>
        <w:rPr>
          <w:sz w:val="20"/>
        </w:rPr>
        <w:t>The following “Disruption Fallbacks” specified in Section 7.5(c) of the Commodity Definitions shall apply, in the following order:</w:t>
      </w:r>
    </w:p>
    <w:p>
      <w:pPr>
        <w:pStyle w:val="BodyTextIndent"/>
        <w:ind w:hanging="0" w:start="0" w:end="0"/>
        <w:rPr>
          <w:sz w:val="20"/>
        </w:rPr>
      </w:pPr>
      <w:r>
        <w:rPr>
          <w:sz w:val="20"/>
        </w:rPr>
      </w:r>
    </w:p>
    <w:p>
      <w:pPr>
        <w:pStyle w:val="BodyTextIndent"/>
        <w:numPr>
          <w:ilvl w:val="0"/>
          <w:numId w:val="3"/>
        </w:numPr>
        <w:rPr>
          <w:sz w:val="20"/>
        </w:rPr>
      </w:pPr>
      <w:r>
        <w:rPr>
          <w:sz w:val="20"/>
        </w:rPr>
        <w:t>“</w:t>
      </w:r>
      <w:r>
        <w:rPr>
          <w:sz w:val="20"/>
        </w:rPr>
        <w:t>Postponement”, with three (3) Commodity Business days as the Maximum Days of Disruption;</w:t>
      </w:r>
    </w:p>
    <w:p>
      <w:pPr>
        <w:pStyle w:val="BodyTextIndent"/>
        <w:numPr>
          <w:ilvl w:val="0"/>
          <w:numId w:val="3"/>
        </w:numPr>
        <w:rPr>
          <w:sz w:val="20"/>
        </w:rPr>
      </w:pPr>
      <w:r>
        <w:rPr>
          <w:sz w:val="20"/>
        </w:rPr>
        <w:t>“</w:t>
      </w:r>
      <w:r>
        <w:rPr>
          <w:sz w:val="20"/>
        </w:rPr>
        <w:t>Fallback Reference Price” (if the relevant parties have specified an alternate Commodity Reference Price above in this Confirmation);</w:t>
      </w:r>
    </w:p>
    <w:p>
      <w:pPr>
        <w:pStyle w:val="BodyTextIndent"/>
        <w:numPr>
          <w:ilvl w:val="0"/>
          <w:numId w:val="3"/>
        </w:numPr>
        <w:rPr>
          <w:sz w:val="20"/>
        </w:rPr>
      </w:pPr>
      <w:r>
        <w:rPr>
          <w:sz w:val="20"/>
        </w:rPr>
        <w:t>“</w:t>
      </w:r>
      <w:r>
        <w:rPr>
          <w:sz w:val="20"/>
        </w:rPr>
        <w:t>Negotiated Fallback” (provided that the reference in Section 7.5(c )(ii) to “fifth Business Day” shall be amended to be “twelfth Business Day”); and</w:t>
      </w:r>
    </w:p>
    <w:p>
      <w:pPr>
        <w:pStyle w:val="BodyTextIndent"/>
        <w:numPr>
          <w:ilvl w:val="0"/>
          <w:numId w:val="3"/>
        </w:numPr>
        <w:rPr>
          <w:sz w:val="20"/>
        </w:rPr>
      </w:pPr>
      <w:r>
        <w:rPr>
          <w:sz w:val="20"/>
        </w:rPr>
        <w:t>The Relevant Price will be determined and calculated as set forth in the definition “Commodity-Reference Dealers”, provided however, notwithstanding any reference to the number of Specified Prices in such definition, Party A shall obtain in good faith quotations from two (2) leading dealers in the relevant market, and the price for that Pricing date will be the arithmetic means of the Specified Prices.</w:t>
      </w:r>
    </w:p>
    <w:p>
      <w:pPr>
        <w:pStyle w:val="BodyTextIndent"/>
        <w:rPr>
          <w:sz w:val="20"/>
        </w:rPr>
      </w:pPr>
      <w:r>
        <w:rPr>
          <w:sz w:val="20"/>
        </w:rPr>
      </w:r>
    </w:p>
    <w:p>
      <w:pPr>
        <w:pStyle w:val="BodyTextIndent"/>
        <w:numPr>
          <w:ilvl w:val="0"/>
          <w:numId w:val="2"/>
        </w:numPr>
        <w:rPr>
          <w:sz w:val="20"/>
        </w:rPr>
      </w:pPr>
      <w:r>
        <w:rPr>
          <w:sz w:val="20"/>
        </w:rPr>
        <w:t>For purposes of any Transaction in which paper or pulp is the relevant Commodity, the phrase “within 30 calendar days” in line 5 of Section 7.3 of the Commodity Definitions shall be replaced by the phrase “within 40 calendar days”.</w:t>
      </w:r>
    </w:p>
    <w:p>
      <w:pPr>
        <w:pStyle w:val="BodyTextIndent"/>
        <w:rPr>
          <w:sz w:val="20"/>
        </w:rPr>
      </w:pPr>
      <w:r>
        <w:rPr>
          <w:sz w:val="20"/>
        </w:rPr>
      </w:r>
    </w:p>
    <w:p>
      <w:pPr>
        <w:pStyle w:val="BodyTextIndent"/>
        <w:ind w:hanging="0" w:start="0" w:end="0"/>
        <w:rPr>
          <w:sz w:val="20"/>
        </w:rPr>
      </w:pPr>
      <w:r>
        <w:rPr>
          <w:sz w:val="20"/>
        </w:rPr>
        <w:t>Please confirm that the foregoing correctly sets forth the terms of our agreement by executing the copy of this Confirmation enclosed for that purpose and returning it to us.</w:t>
      </w:r>
    </w:p>
    <w:p>
      <w:pPr>
        <w:pStyle w:val="BodyTextIndent"/>
        <w:rPr>
          <w:sz w:val="20"/>
        </w:rPr>
      </w:pPr>
      <w:r>
        <w:rPr>
          <w:sz w:val="20"/>
        </w:rPr>
      </w:r>
    </w:p>
    <w:p>
      <w:pPr>
        <w:pStyle w:val="BodyTextIndent"/>
        <w:rPr>
          <w:sz w:val="20"/>
        </w:rPr>
      </w:pPr>
      <w:r>
        <w:rPr>
          <w:sz w:val="20"/>
        </w:rPr>
        <w:t>Yours sincerely</w:t>
      </w:r>
    </w:p>
    <w:p>
      <w:pPr>
        <w:pStyle w:val="BodyTextIndent"/>
        <w:rPr>
          <w:sz w:val="20"/>
        </w:rPr>
      </w:pPr>
      <w:r>
        <w:rPr>
          <w:sz w:val="20"/>
        </w:rPr>
      </w:r>
    </w:p>
    <w:p>
      <w:pPr>
        <w:pStyle w:val="BodyTextIndent"/>
        <w:ind w:hanging="0" w:start="5040" w:end="0"/>
        <w:rPr>
          <w:b/>
          <w:sz w:val="20"/>
        </w:rPr>
      </w:pPr>
      <w:r>
        <w:rPr>
          <w:b/>
          <w:sz w:val="20"/>
        </w:rPr>
        <w:t>Enron Capital &amp; Trade Resources International Corp.</w:t>
      </w:r>
    </w:p>
    <w:p>
      <w:pPr>
        <w:pStyle w:val="BodyTextIndent"/>
        <w:rPr>
          <w:b/>
          <w:sz w:val="20"/>
        </w:rPr>
      </w:pPr>
      <w:r>
        <w:rPr>
          <w:b/>
          <w:sz w:val="20"/>
        </w:rPr>
        <w:tab/>
      </w:r>
    </w:p>
    <w:p>
      <w:pPr>
        <w:pStyle w:val="BodyTextIndent"/>
        <w:ind w:firstLine="153" w:start="4887" w:end="0"/>
        <w:rPr>
          <w:b/>
          <w:sz w:val="20"/>
        </w:rPr>
      </w:pPr>
      <w:r>
        <w:rPr>
          <w:b/>
          <w:sz w:val="20"/>
        </w:rPr>
        <w:t>By:</w:t>
        <w:tab/>
        <w:t>Enron Europe Finance &amp; Trading Limited</w:t>
      </w:r>
    </w:p>
    <w:p>
      <w:pPr>
        <w:pStyle w:val="BodyTextIndent"/>
        <w:rPr>
          <w:b/>
          <w:sz w:val="20"/>
        </w:rPr>
      </w:pPr>
      <w:r>
        <w:rPr>
          <w:b/>
          <w:sz w:val="20"/>
        </w:rPr>
      </w:r>
    </w:p>
    <w:p>
      <w:pPr>
        <w:pStyle w:val="BodyTextIndent"/>
        <w:rPr>
          <w:b/>
          <w:sz w:val="20"/>
        </w:rPr>
      </w:pPr>
      <w:r>
        <w:rPr>
          <w:b/>
          <w:sz w:val="20"/>
        </w:rPr>
      </w:r>
    </w:p>
    <w:p>
      <w:pPr>
        <w:pStyle w:val="BodyTextIndent"/>
        <w:ind w:firstLine="306" w:start="4734" w:end="0"/>
        <w:rPr>
          <w:sz w:val="20"/>
        </w:rPr>
      </w:pPr>
      <w:r>
        <w:rPr>
          <w:sz w:val="20"/>
        </w:rPr>
        <w:t>By:</w:t>
        <w:tab/>
        <w:t>____________________________________</w:t>
      </w:r>
    </w:p>
    <w:p>
      <w:pPr>
        <w:pStyle w:val="BodyTextIndent"/>
        <w:ind w:firstLine="459" w:start="4581" w:end="0"/>
        <w:rPr>
          <w:sz w:val="20"/>
        </w:rPr>
      </w:pPr>
      <w:r>
        <w:rPr>
          <w:sz w:val="20"/>
        </w:rPr>
        <w:t>Name:</w:t>
        <w:tab/>
        <w:t>____________________________________</w:t>
      </w:r>
    </w:p>
    <w:p>
      <w:pPr>
        <w:pStyle w:val="BodyTextIndent"/>
        <w:ind w:firstLine="612" w:start="4428" w:end="0"/>
        <w:rPr>
          <w:sz w:val="20"/>
        </w:rPr>
      </w:pPr>
      <w:r>
        <w:rPr>
          <w:sz w:val="20"/>
        </w:rPr>
        <w:t>Title:</w:t>
        <w:tab/>
        <w:t>Agent and Attorney-in Fact</w:t>
      </w:r>
    </w:p>
    <w:p>
      <w:pPr>
        <w:pStyle w:val="BodyTextIndent"/>
        <w:rPr>
          <w:sz w:val="20"/>
        </w:rPr>
      </w:pPr>
      <w:r>
        <w:rPr>
          <w:sz w:val="20"/>
        </w:rPr>
      </w:r>
    </w:p>
    <w:p>
      <w:pPr>
        <w:pStyle w:val="BodyTextIndent"/>
        <w:rPr>
          <w:sz w:val="20"/>
        </w:rPr>
      </w:pPr>
      <w:r>
        <w:rPr>
          <w:sz w:val="20"/>
        </w:rPr>
      </w:r>
    </w:p>
    <w:p>
      <w:pPr>
        <w:pStyle w:val="BodyTextIndent"/>
        <w:rPr>
          <w:sz w:val="20"/>
        </w:rPr>
      </w:pPr>
      <w:r>
        <w:rPr>
          <w:sz w:val="20"/>
        </w:rPr>
        <w:t>Confirmed as of the date first above written:</w:t>
      </w:r>
    </w:p>
    <w:p>
      <w:pPr>
        <w:pStyle w:val="BodyTextIndent"/>
        <w:rPr>
          <w:sz w:val="20"/>
        </w:rPr>
      </w:pPr>
      <w:r>
        <w:rPr>
          <w:sz w:val="20"/>
        </w:rPr>
      </w:r>
    </w:p>
    <w:p>
      <w:pPr>
        <w:pStyle w:val="BodyTextIndent"/>
        <w:rPr>
          <w:b/>
          <w:sz w:val="20"/>
        </w:rPr>
      </w:pPr>
      <w:r>
        <w:rPr>
          <w:b/>
          <w:sz w:val="20"/>
        </w:rPr>
        <w:t>Papeis Inapa S.A.</w:t>
      </w:r>
    </w:p>
    <w:p>
      <w:pPr>
        <w:pStyle w:val="BodyTextIndent"/>
        <w:rPr>
          <w:b/>
          <w:sz w:val="20"/>
        </w:rPr>
      </w:pPr>
      <w:r>
        <w:rPr>
          <w:b/>
          <w:sz w:val="20"/>
        </w:rPr>
      </w:r>
    </w:p>
    <w:p>
      <w:pPr>
        <w:pStyle w:val="BodyTextIndent"/>
        <w:rPr>
          <w:b/>
          <w:sz w:val="20"/>
        </w:rPr>
      </w:pPr>
      <w:r>
        <w:rPr>
          <w:b/>
          <w:sz w:val="20"/>
        </w:rPr>
      </w:r>
    </w:p>
    <w:p>
      <w:pPr>
        <w:pStyle w:val="BodyTextIndent"/>
        <w:rPr>
          <w:sz w:val="20"/>
        </w:rPr>
      </w:pPr>
      <w:r>
        <w:rPr>
          <w:sz w:val="20"/>
        </w:rPr>
        <w:t>Signed By:</w:t>
        <w:tab/>
        <w:t>_______________________________</w:t>
      </w:r>
    </w:p>
    <w:p>
      <w:pPr>
        <w:pStyle w:val="BodyTextIndent"/>
        <w:rPr>
          <w:sz w:val="20"/>
        </w:rPr>
      </w:pPr>
      <w:r>
        <w:rPr>
          <w:sz w:val="20"/>
        </w:rPr>
        <w:t>Name:</w:t>
        <w:tab/>
        <w:tab/>
        <w:tab/>
        <w:t>_______________________________</w:t>
      </w:r>
    </w:p>
    <w:p>
      <w:pPr>
        <w:pStyle w:val="BodyTextIndent"/>
        <w:rPr>
          <w:sz w:val="20"/>
        </w:rPr>
      </w:pPr>
      <w:r>
        <w:rPr>
          <w:sz w:val="20"/>
        </w:rPr>
        <w:t>Title:</w:t>
        <w:tab/>
        <w:tab/>
        <w:tab/>
        <w:t>_______________________________</w:t>
      </w:r>
    </w:p>
    <w:p>
      <w:pPr>
        <w:pStyle w:val="Normal"/>
        <w:ind w:hanging="567" w:start="567" w:end="0"/>
        <w:jc w:val="both"/>
        <w:rPr>
          <w:sz w:val="20"/>
        </w:rPr>
      </w:pPr>
      <w:r>
        <w:rPr>
          <w:sz w:val="20"/>
        </w:rPr>
      </w:r>
    </w:p>
    <w:sectPr>
      <w:headerReference w:type="default" r:id="rId5"/>
      <w:headerReference w:type="first" r:id="rId6"/>
      <w:footerReference w:type="default" r:id="rId7"/>
      <w:footerReference w:type="first" r:id="rId8"/>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tab/>
      <w:tab/>
      <w:t>Contract No. 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tab/>
      <w:tab/>
      <w:t>Contract No.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570"/>
        </w:tabs>
        <w:ind w:start="570" w:hanging="570"/>
      </w:pPr>
      <w:rPr/>
    </w:lvl>
  </w:abstractNum>
  <w:abstractNum w:abstractNumId="3">
    <w:lvl w:ilvl="0">
      <w:start w:val="1"/>
      <w:numFmt w:val="lowerRoman"/>
      <w:lvlText w:val="(%1)"/>
      <w:lvlJc w:val="start"/>
      <w:pPr>
        <w:tabs>
          <w:tab w:val="num" w:pos="1290"/>
        </w:tabs>
        <w:ind w:start="1290" w:hanging="720"/>
      </w:pPr>
      <w:rPr/>
    </w:lvl>
  </w:abstractNum>
  <w:abstractNum w:abstractNumId="4">
    <w:lvl w:ilvl="0">
      <w:start w:val="1"/>
      <w:numFmt w:val="lowerRoman"/>
      <w:lvlText w:val="(%1)"/>
      <w:lvlJc w:val="start"/>
      <w:pPr>
        <w:tabs>
          <w:tab w:val="num" w:pos="1287"/>
        </w:tabs>
        <w:ind w:start="1287"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87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2268" w:leader="none"/>
        <w:tab w:val="left" w:pos="5670" w:leader="none"/>
        <w:tab w:val="left" w:pos="8789" w:leader="none"/>
      </w:tabs>
      <w:outlineLvl w:val="4"/>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Indent">
    <w:name w:val="Body Text Indent"/>
    <w:basedOn w:val="Normal"/>
    <w:pPr>
      <w:ind w:hanging="567" w:start="567" w:end="0"/>
      <w:jc w:val="both"/>
    </w:pPr>
    <w:rPr>
      <w:sz w:val="22"/>
    </w:rPr>
  </w:style>
  <w:style w:type="paragraph" w:styleId="BodyTextIndent2">
    <w:name w:val="Body Text Indent 2"/>
    <w:basedOn w:val="Normal"/>
    <w:qFormat/>
    <w:pPr>
      <w:ind w:hanging="0" w:start="567" w:end="0"/>
      <w:jc w:val="both"/>
    </w:pPr>
    <w:rPr>
      <w:sz w:val="22"/>
    </w:rPr>
  </w:style>
  <w:style w:type="paragraph" w:styleId="CommentText">
    <w:name w:val="Comment Text"/>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1999-07-30T13:08:00Z</dcterms:created>
  <dc:creator>ECT</dc:creator>
  <dc:description/>
  <dc:language>en-CA</dc:language>
  <cp:lastModifiedBy>Edmund Cooper</cp:lastModifiedBy>
  <cp:lastPrinted>1999-07-30T16:06:00Z</cp:lastPrinted>
  <dcterms:modified xsi:type="dcterms:W3CDTF">1999-07-30T13:15:00Z</dcterms:modified>
  <cp:revision>3</cp:revision>
  <dc:subject/>
  <dc:title> </dc:title>
</cp:coreProperties>
</file>