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50925" cy="10420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50925" cy="104203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rPr>
            </w:pPr>
            <w:r>
              <w:rPr>
                <w:b/>
              </w:rPr>
              <w:t>Enron North America Corp</w:t>
            </w:r>
          </w:p>
          <w:p>
            <w:pPr>
              <w:pStyle w:val="Normal"/>
              <w:tabs>
                <w:tab w:val="clear" w:pos="720"/>
                <w:tab w:val="left" w:pos="2412" w:leader="none"/>
              </w:tabs>
              <w:jc w:val="end"/>
              <w:rPr>
                <w:i/>
                <w:i/>
              </w:rPr>
            </w:pPr>
            <w:r>
              <w:rPr>
                <w:i/>
              </w:rPr>
              <w:t>P.O. Box 4428</w:t>
            </w:r>
          </w:p>
          <w:p>
            <w:pPr>
              <w:pStyle w:val="Normal"/>
              <w:tabs>
                <w:tab w:val="clear" w:pos="720"/>
                <w:tab w:val="left" w:pos="2412" w:leader="none"/>
              </w:tabs>
              <w:jc w:val="end"/>
              <w:rPr>
                <w:i/>
                <w:i/>
              </w:rPr>
            </w:pPr>
            <w:r>
              <w:rPr>
                <w:i/>
              </w:rPr>
              <w:t>Houston, TX  77210-4428</w:t>
            </w:r>
          </w:p>
          <w:p>
            <w:pPr>
              <w:pStyle w:val="Normal"/>
              <w:tabs>
                <w:tab w:val="clear" w:pos="720"/>
                <w:tab w:val="left" w:pos="2412" w:leader="none"/>
              </w:tabs>
              <w:jc w:val="end"/>
              <w:rPr>
                <w:i/>
                <w:i/>
              </w:rPr>
            </w:pPr>
            <w:r>
              <w:rPr>
                <w:i/>
              </w:rPr>
              <w:t>Phone: (713) 853-3300</w:t>
            </w:r>
          </w:p>
          <w:p>
            <w:pPr>
              <w:pStyle w:val="Normal"/>
              <w:tabs>
                <w:tab w:val="clear" w:pos="720"/>
                <w:tab w:val="left" w:pos="2412" w:leader="none"/>
              </w:tabs>
              <w:jc w:val="end"/>
              <w:rPr>
                <w:i/>
                <w:i/>
              </w:rPr>
            </w:pPr>
            <w:r>
              <w:rPr>
                <w:i/>
              </w:rPr>
              <w:t>Fax:  (713) 646-4816</w:t>
            </w:r>
          </w:p>
          <w:p>
            <w:pPr>
              <w:pStyle w:val="Normal"/>
              <w:tabs>
                <w:tab w:val="clear" w:pos="720"/>
                <w:tab w:val="left" w:pos="2412" w:leader="none"/>
              </w:tabs>
              <w:rPr>
                <w:i/>
                <w:i/>
              </w:rPr>
            </w:pPr>
            <w:r>
              <w:rPr>
                <w:i/>
              </w:rPr>
            </w:r>
          </w:p>
        </w:tc>
      </w:tr>
    </w:tbl>
    <w:p>
      <w:pPr>
        <w:pStyle w:val="Heading"/>
        <w:jc w:val="start"/>
        <w:rPr/>
      </w:pPr>
      <w:r>
        <w:rPr/>
      </w:r>
    </w:p>
    <w:p>
      <w:pPr>
        <w:pStyle w:val="Heading"/>
        <w:rPr/>
      </w:pPr>
      <w:r>
        <w:rPr/>
        <w:t>CANCELLATION AGREEMENT</w:t>
      </w:r>
    </w:p>
    <w:p>
      <w:pPr>
        <w:pStyle w:val="Normal"/>
        <w:jc w:val="center"/>
        <w:rPr>
          <w:b/>
          <w:u w:val="single"/>
        </w:rPr>
      </w:pPr>
      <w:r>
        <w:rPr>
          <w:b/>
          <w:u w:val="single"/>
        </w:rPr>
      </w:r>
    </w:p>
    <w:p>
      <w:pPr>
        <w:pStyle w:val="Normal"/>
        <w:jc w:val="both"/>
        <w:rPr/>
      </w:pPr>
      <w:r>
        <w:rPr>
          <w:b/>
        </w:rPr>
        <w:t>THIS CANCELLATION AGREEMENT</w:t>
      </w:r>
      <w:r>
        <w:rPr/>
        <w:t xml:space="preserve">, dated as of December 14, 2000, is between </w:t>
      </w:r>
      <w:r>
        <w:rPr>
          <w:b/>
        </w:rPr>
        <w:t>Panther LLC (Counterpary</w:t>
      </w:r>
      <w:r>
        <w:rPr/>
        <w:t xml:space="preserve">) and </w:t>
      </w:r>
      <w:r>
        <w:rPr>
          <w:b/>
        </w:rPr>
        <w:t>Enron North America Corp., formerly Enron Capital &amp; Trade Resources Corp.  (“Enron”).</w:t>
      </w:r>
    </w:p>
    <w:p>
      <w:pPr>
        <w:pStyle w:val="Normal"/>
        <w:rPr>
          <w:b/>
        </w:rPr>
      </w:pPr>
      <w:r>
        <w:rPr>
          <w:b/>
        </w:rPr>
      </w:r>
    </w:p>
    <w:p>
      <w:pPr>
        <w:pStyle w:val="Normal"/>
        <w:jc w:val="center"/>
        <w:rPr/>
      </w:pPr>
      <w:r>
        <w:rPr/>
        <w:t>WITNESSETH:</w:t>
      </w:r>
    </w:p>
    <w:p>
      <w:pPr>
        <w:pStyle w:val="Normal"/>
        <w:jc w:val="center"/>
        <w:rPr/>
      </w:pPr>
      <w:r>
        <w:rPr/>
      </w:r>
    </w:p>
    <w:p>
      <w:pPr>
        <w:pStyle w:val="Normal"/>
        <w:jc w:val="both"/>
        <w:rPr/>
      </w:pPr>
      <w:r>
        <w:rPr>
          <w:b/>
        </w:rPr>
        <w:t>WHEREAS</w:t>
      </w:r>
      <w:r>
        <w:rPr/>
        <w:t>, Enron and Counterparty have entered into a certain interest rate swap transaction set forth in Appendix I attached hereto (the “Transaction”) pursuant to an ISDA Master Agreement dated as of December 15, 1998 between Enron and Counterparty (the “Agreement”); and</w:t>
      </w:r>
    </w:p>
    <w:p>
      <w:pPr>
        <w:pStyle w:val="Normal"/>
        <w:jc w:val="both"/>
        <w:rPr/>
      </w:pPr>
      <w:r>
        <w:rPr/>
      </w:r>
    </w:p>
    <w:p>
      <w:pPr>
        <w:pStyle w:val="Normal"/>
        <w:jc w:val="both"/>
        <w:rPr/>
      </w:pPr>
      <w:r>
        <w:rPr>
          <w:b/>
        </w:rPr>
        <w:t>WHEREAS</w:t>
      </w:r>
      <w:r>
        <w:rPr/>
        <w:t>, subject to the terms and provisions hereof, Enron and Counterparty are willing to cancel the Transaction and to discharge their respective obligations and waive their respective rights thereunder;</w:t>
      </w:r>
    </w:p>
    <w:p>
      <w:pPr>
        <w:pStyle w:val="Normal"/>
        <w:jc w:val="both"/>
        <w:rPr/>
      </w:pPr>
      <w:r>
        <w:rPr/>
      </w:r>
    </w:p>
    <w:p>
      <w:pPr>
        <w:pStyle w:val="Normal"/>
        <w:jc w:val="both"/>
        <w:rPr/>
      </w:pPr>
      <w:r>
        <w:rPr>
          <w:b/>
        </w:rPr>
        <w:t>NOW THEREFORE</w:t>
      </w:r>
      <w:r>
        <w:rPr/>
        <w:t>, in consideration of the premises and mutual agreements herein contained, the parties hereto agree as follows:</w:t>
      </w:r>
    </w:p>
    <w:p>
      <w:pPr>
        <w:pStyle w:val="Normal"/>
        <w:jc w:val="both"/>
        <w:rPr>
          <w:sz w:val="16"/>
        </w:rPr>
      </w:pPr>
      <w:r>
        <w:rPr>
          <w:sz w:val="16"/>
        </w:rPr>
      </w:r>
    </w:p>
    <w:p>
      <w:pPr>
        <w:pStyle w:val="Normal"/>
        <w:numPr>
          <w:ilvl w:val="0"/>
          <w:numId w:val="2"/>
        </w:numPr>
        <w:jc w:val="both"/>
        <w:rPr/>
      </w:pPr>
      <w:r>
        <w:rPr/>
        <w:t>The provisions of the Transaction evidenced by the related Confirmation are terminated and cancelled on and after December 13, 2000 (the “Cancellation Date”) and all rights, duties, claims and obligations of Enron and Counterparty thereunder shall, as of the Cancellation Date, be released and discharged.  This Cancellation Agreement relates only to this Transaction and shall not affect the obligations and liabilities of either party under any other derivative transaction exchanged between the parties and the Agreement to which they relate.  The parties hereto acknowledge that no amounts are owing and unpaid under the Transaction.</w:t>
      </w:r>
    </w:p>
    <w:p>
      <w:pPr>
        <w:pStyle w:val="Normal"/>
        <w:tabs>
          <w:tab w:val="left" w:pos="720" w:leader="none"/>
        </w:tabs>
        <w:jc w:val="both"/>
        <w:rPr>
          <w:sz w:val="16"/>
        </w:rPr>
      </w:pPr>
      <w:r>
        <w:rPr>
          <w:sz w:val="16"/>
        </w:rPr>
      </w:r>
    </w:p>
    <w:p>
      <w:pPr>
        <w:pStyle w:val="Normal"/>
        <w:numPr>
          <w:ilvl w:val="0"/>
          <w:numId w:val="2"/>
        </w:numPr>
        <w:tabs>
          <w:tab w:val="left" w:pos="720" w:leader="none"/>
        </w:tabs>
        <w:jc w:val="both"/>
        <w:rPr/>
      </w:pPr>
      <w:r>
        <w:rPr/>
        <w:t xml:space="preserve">This Cancellation Agreement may be executed and delivered in counterparts (including by facsimile transmission), each of which shall be deemed to be an original and all of which shall be deemed to be one and the same instrument. </w:t>
      </w:r>
    </w:p>
    <w:p>
      <w:pPr>
        <w:pStyle w:val="Normal"/>
        <w:jc w:val="both"/>
        <w:rPr>
          <w:sz w:val="16"/>
        </w:rPr>
      </w:pPr>
      <w:r>
        <w:rPr>
          <w:sz w:val="16"/>
        </w:rPr>
      </w:r>
    </w:p>
    <w:p>
      <w:pPr>
        <w:pStyle w:val="Normal"/>
        <w:numPr>
          <w:ilvl w:val="0"/>
          <w:numId w:val="2"/>
        </w:numPr>
        <w:tabs>
          <w:tab w:val="left" w:pos="720" w:leader="none"/>
        </w:tabs>
        <w:jc w:val="both"/>
        <w:rPr/>
      </w:pPr>
      <w:r>
        <w:rPr/>
        <w:t>This Cancellation Agreement shall be governed by, and construed in accordance with, the laws of the State of New York, without reference to the choice of law doctrine.</w:t>
      </w:r>
    </w:p>
    <w:p>
      <w:pPr>
        <w:pStyle w:val="Normal"/>
        <w:jc w:val="both"/>
        <w:rPr>
          <w:sz w:val="16"/>
        </w:rPr>
      </w:pPr>
      <w:r>
        <w:rPr>
          <w:sz w:val="16"/>
        </w:rPr>
      </w:r>
    </w:p>
    <w:p>
      <w:pPr>
        <w:pStyle w:val="Normal"/>
        <w:jc w:val="both"/>
        <w:rPr/>
      </w:pPr>
      <w:r>
        <w:rPr>
          <w:b/>
        </w:rPr>
        <w:t>IN WITNESS WHEREOF</w:t>
      </w:r>
      <w:r>
        <w:rPr/>
        <w:t>, each of the parties hereto has caused this Cancellation Agreement to be duly executed as of the date first written above.</w:t>
      </w:r>
    </w:p>
    <w:p>
      <w:pPr>
        <w:pStyle w:val="Normal"/>
        <w:jc w:val="both"/>
        <w:rPr/>
      </w:pPr>
      <w:r>
        <w:rPr/>
      </w:r>
    </w:p>
    <w:p>
      <w:pPr>
        <w:pStyle w:val="BodyTextIndent"/>
        <w:rPr/>
      </w:pPr>
      <w:r>
        <w:rPr/>
        <w:t>Enron North America Corp.</w:t>
      </w:r>
    </w:p>
    <w:p>
      <w:pPr>
        <w:pStyle w:val="Normal"/>
        <w:ind w:start="4320" w:end="0"/>
        <w:rPr/>
      </w:pPr>
      <w:r>
        <w:rPr/>
      </w:r>
    </w:p>
    <w:p>
      <w:pPr>
        <w:pStyle w:val="Normal"/>
        <w:ind w:start="4320" w:end="0"/>
        <w:rPr/>
      </w:pPr>
      <w:r>
        <w:rPr/>
      </w:r>
    </w:p>
    <w:p>
      <w:pPr>
        <w:pStyle w:val="Normal"/>
        <w:ind w:start="4320" w:end="0"/>
        <w:rPr/>
      </w:pPr>
      <w:r>
        <w:rPr/>
        <w:t>By:  ________________________________</w:t>
      </w:r>
    </w:p>
    <w:p>
      <w:pPr>
        <w:pStyle w:val="Normal"/>
        <w:ind w:start="4320" w:end="0"/>
        <w:rPr/>
      </w:pPr>
      <w:r>
        <w:rPr/>
        <w:t>Name:</w:t>
      </w:r>
    </w:p>
    <w:p>
      <w:pPr>
        <w:pStyle w:val="Normal"/>
        <w:ind w:start="4320" w:end="0"/>
        <w:rPr/>
      </w:pPr>
      <w:r>
        <w:rPr/>
        <w:t>Title:</w:t>
      </w:r>
    </w:p>
    <w:p>
      <w:pPr>
        <w:pStyle w:val="Normal"/>
        <w:ind w:start="4320" w:end="0"/>
        <w:rPr/>
      </w:pPr>
      <w:r>
        <w:rPr/>
      </w:r>
    </w:p>
    <w:p>
      <w:pPr>
        <w:pStyle w:val="Normal"/>
        <w:rPr/>
      </w:pPr>
      <w:r>
        <w:rPr/>
        <w:t>Panther LLC</w:t>
      </w:r>
    </w:p>
    <w:p>
      <w:pPr>
        <w:pStyle w:val="Normal"/>
        <w:rPr/>
      </w:pPr>
      <w:r>
        <w:rPr/>
      </w:r>
    </w:p>
    <w:p>
      <w:pPr>
        <w:pStyle w:val="Normal"/>
        <w:rPr/>
      </w:pPr>
      <w:r>
        <w:rPr/>
      </w:r>
    </w:p>
    <w:p>
      <w:pPr>
        <w:pStyle w:val="Normal"/>
        <w:rPr/>
      </w:pPr>
      <w:r>
        <w:rPr/>
        <w:t>By:  __________________________________</w:t>
      </w:r>
    </w:p>
    <w:p>
      <w:pPr>
        <w:pStyle w:val="Normal"/>
        <w:rPr/>
      </w:pPr>
      <w:r>
        <w:rPr/>
        <w:t xml:space="preserve">Name: </w:t>
      </w:r>
    </w:p>
    <w:p>
      <w:pPr>
        <w:pStyle w:val="Normal"/>
        <w:rPr/>
      </w:pPr>
      <w:r>
        <w:rPr/>
        <w:t>Title:</w:t>
      </w:r>
      <w:r>
        <w:br w:type="page"/>
      </w:r>
    </w:p>
    <w:p>
      <w:pPr>
        <w:pStyle w:val="Normal"/>
        <w:jc w:val="center"/>
        <w:rPr>
          <w:b/>
          <w:u w:val="single"/>
        </w:rPr>
      </w:pPr>
      <w:r>
        <w:rPr>
          <w:b/>
          <w:u w:val="single"/>
        </w:rPr>
        <w:t>Appendix I</w:t>
      </w:r>
    </w:p>
    <w:p>
      <w:pPr>
        <w:pStyle w:val="Normal"/>
        <w:jc w:val="center"/>
        <w:rPr>
          <w:b/>
          <w:u w:val="single"/>
        </w:rPr>
      </w:pPr>
      <w:r>
        <w:rPr>
          <w:b/>
          <w:u w:val="single"/>
        </w:rPr>
      </w:r>
    </w:p>
    <w:p>
      <w:pPr>
        <w:pStyle w:val="Normal"/>
        <w:rPr/>
      </w:pPr>
      <w:r>
        <w:rPr/>
        <w:t>RE:  Swap Transaction; Deal No. M132740</w:t>
      </w:r>
    </w:p>
    <w:p>
      <w:pPr>
        <w:pStyle w:val="Normal"/>
        <w:jc w:val="center"/>
        <w:rPr>
          <w:b/>
          <w:u w:val="single"/>
        </w:rPr>
      </w:pPr>
      <w:r>
        <w:rPr>
          <w:b/>
          <w:u w:val="single"/>
        </w:rPr>
      </w:r>
    </w:p>
    <w:tbl>
      <w:tblPr>
        <w:tblW w:w="8928" w:type="dxa"/>
        <w:jc w:val="start"/>
        <w:tblInd w:w="-72" w:type="dxa"/>
        <w:tblLayout w:type="fixed"/>
        <w:tblCellMar>
          <w:top w:w="0" w:type="dxa"/>
          <w:start w:w="108" w:type="dxa"/>
          <w:bottom w:w="0" w:type="dxa"/>
          <w:end w:w="108" w:type="dxa"/>
        </w:tblCellMar>
      </w:tblPr>
      <w:tblGrid>
        <w:gridCol w:w="4410"/>
        <w:gridCol w:w="4518"/>
      </w:tblGrid>
      <w:tr>
        <w:trPr/>
        <w:tc>
          <w:tcPr>
            <w:tcW w:w="4410" w:type="dxa"/>
            <w:tcBorders/>
          </w:tcPr>
          <w:p>
            <w:pPr>
              <w:pStyle w:val="Normal"/>
              <w:rPr/>
            </w:pPr>
            <w:r>
              <w:rPr/>
              <w:t>Trade Date:</w:t>
            </w:r>
          </w:p>
        </w:tc>
        <w:tc>
          <w:tcPr>
            <w:tcW w:w="4518" w:type="dxa"/>
            <w:tcBorders/>
          </w:tcPr>
          <w:p>
            <w:pPr>
              <w:pStyle w:val="Normal"/>
              <w:rPr/>
            </w:pPr>
            <w:r>
              <w:rPr/>
              <w:t>December 15, 1998</w:t>
            </w:r>
          </w:p>
        </w:tc>
      </w:tr>
      <w:tr>
        <w:trPr/>
        <w:tc>
          <w:tcPr>
            <w:tcW w:w="4410" w:type="dxa"/>
            <w:tcBorders/>
          </w:tcPr>
          <w:p>
            <w:pPr>
              <w:pStyle w:val="Normal"/>
              <w:snapToGrid w:val="false"/>
              <w:rPr/>
            </w:pPr>
            <w:r>
              <w:rPr/>
            </w:r>
          </w:p>
        </w:tc>
        <w:tc>
          <w:tcPr>
            <w:tcW w:w="4518" w:type="dxa"/>
            <w:tcBorders/>
          </w:tcPr>
          <w:p>
            <w:pPr>
              <w:pStyle w:val="Normal"/>
              <w:snapToGrid w:val="false"/>
              <w:rPr/>
            </w:pPr>
            <w:r>
              <w:rPr/>
            </w:r>
          </w:p>
        </w:tc>
      </w:tr>
      <w:tr>
        <w:trPr/>
        <w:tc>
          <w:tcPr>
            <w:tcW w:w="4410" w:type="dxa"/>
            <w:tcBorders/>
          </w:tcPr>
          <w:p>
            <w:pPr>
              <w:pStyle w:val="Normal"/>
              <w:rPr/>
            </w:pPr>
            <w:r>
              <w:rPr/>
              <w:t>Effective Date:</w:t>
            </w:r>
          </w:p>
        </w:tc>
        <w:tc>
          <w:tcPr>
            <w:tcW w:w="4518" w:type="dxa"/>
            <w:tcBorders/>
          </w:tcPr>
          <w:p>
            <w:pPr>
              <w:pStyle w:val="Normal"/>
              <w:rPr/>
            </w:pPr>
            <w:r>
              <w:rPr/>
              <w:t>December 15, 1998</w:t>
            </w:r>
          </w:p>
        </w:tc>
      </w:tr>
      <w:tr>
        <w:trPr/>
        <w:tc>
          <w:tcPr>
            <w:tcW w:w="4410" w:type="dxa"/>
            <w:tcBorders/>
          </w:tcPr>
          <w:p>
            <w:pPr>
              <w:pStyle w:val="Normal"/>
              <w:snapToGrid w:val="false"/>
              <w:rPr/>
            </w:pPr>
            <w:r>
              <w:rPr/>
            </w:r>
          </w:p>
        </w:tc>
        <w:tc>
          <w:tcPr>
            <w:tcW w:w="4518" w:type="dxa"/>
            <w:tcBorders/>
          </w:tcPr>
          <w:p>
            <w:pPr>
              <w:pStyle w:val="Normal"/>
              <w:snapToGrid w:val="false"/>
              <w:rPr/>
            </w:pPr>
            <w:r>
              <w:rPr/>
            </w:r>
          </w:p>
        </w:tc>
      </w:tr>
      <w:tr>
        <w:trPr/>
        <w:tc>
          <w:tcPr>
            <w:tcW w:w="4410" w:type="dxa"/>
            <w:tcBorders/>
          </w:tcPr>
          <w:p>
            <w:pPr>
              <w:pStyle w:val="Normal"/>
              <w:rPr/>
            </w:pPr>
            <w:r>
              <w:rPr/>
              <w:t>Termination Date:</w:t>
            </w:r>
          </w:p>
        </w:tc>
        <w:tc>
          <w:tcPr>
            <w:tcW w:w="4518" w:type="dxa"/>
            <w:tcBorders/>
          </w:tcPr>
          <w:p>
            <w:pPr>
              <w:pStyle w:val="Normal"/>
              <w:rPr/>
            </w:pPr>
            <w:r>
              <w:rPr/>
              <w:t>December 31, 2005, subject to adjustment in accordance with the Modified Following Business Day Convention</w:t>
            </w:r>
          </w:p>
        </w:tc>
      </w:tr>
      <w:tr>
        <w:trPr/>
        <w:tc>
          <w:tcPr>
            <w:tcW w:w="4410" w:type="dxa"/>
            <w:tcBorders/>
          </w:tcPr>
          <w:p>
            <w:pPr>
              <w:pStyle w:val="Normal"/>
              <w:snapToGrid w:val="false"/>
              <w:rPr/>
            </w:pPr>
            <w:r>
              <w:rPr/>
            </w:r>
          </w:p>
        </w:tc>
        <w:tc>
          <w:tcPr>
            <w:tcW w:w="4518" w:type="dxa"/>
            <w:tcBorders/>
          </w:tcPr>
          <w:p>
            <w:pPr>
              <w:pStyle w:val="Normal"/>
              <w:snapToGrid w:val="false"/>
              <w:rPr/>
            </w:pPr>
            <w:r>
              <w:rPr/>
            </w:r>
          </w:p>
        </w:tc>
      </w:tr>
      <w:tr>
        <w:trPr/>
        <w:tc>
          <w:tcPr>
            <w:tcW w:w="4410" w:type="dxa"/>
            <w:tcBorders/>
          </w:tcPr>
          <w:p>
            <w:pPr>
              <w:pStyle w:val="Normal"/>
              <w:rPr/>
            </w:pPr>
            <w:r>
              <w:rPr/>
              <w:t>Fixed Rate:</w:t>
            </w:r>
          </w:p>
        </w:tc>
        <w:tc>
          <w:tcPr>
            <w:tcW w:w="4518" w:type="dxa"/>
            <w:tcBorders/>
          </w:tcPr>
          <w:p>
            <w:pPr>
              <w:pStyle w:val="Normal"/>
              <w:rPr/>
            </w:pPr>
            <w:r>
              <w:rPr/>
              <w:t>5.375 percent</w:t>
            </w:r>
          </w:p>
        </w:tc>
      </w:tr>
      <w:tr>
        <w:trPr/>
        <w:tc>
          <w:tcPr>
            <w:tcW w:w="4410" w:type="dxa"/>
            <w:tcBorders/>
          </w:tcPr>
          <w:p>
            <w:pPr>
              <w:pStyle w:val="Normal"/>
              <w:snapToGrid w:val="false"/>
              <w:rPr/>
            </w:pPr>
            <w:r>
              <w:rPr/>
            </w:r>
          </w:p>
        </w:tc>
        <w:tc>
          <w:tcPr>
            <w:tcW w:w="4518" w:type="dxa"/>
            <w:tcBorders/>
          </w:tcPr>
          <w:p>
            <w:pPr>
              <w:pStyle w:val="Normal"/>
              <w:snapToGrid w:val="false"/>
              <w:rPr/>
            </w:pPr>
            <w:r>
              <w:rPr/>
            </w:r>
          </w:p>
        </w:tc>
      </w:tr>
      <w:tr>
        <w:trPr/>
        <w:tc>
          <w:tcPr>
            <w:tcW w:w="4410" w:type="dxa"/>
            <w:tcBorders/>
          </w:tcPr>
          <w:p>
            <w:pPr>
              <w:pStyle w:val="Normal"/>
              <w:rPr/>
            </w:pPr>
            <w:r>
              <w:rPr/>
              <w:t>Initial Notional Amount:</w:t>
            </w:r>
          </w:p>
        </w:tc>
        <w:tc>
          <w:tcPr>
            <w:tcW w:w="4518" w:type="dxa"/>
            <w:tcBorders/>
          </w:tcPr>
          <w:p>
            <w:pPr>
              <w:pStyle w:val="Normal"/>
              <w:rPr/>
            </w:pPr>
            <w:r>
              <w:rPr/>
              <w:t>USD 16,970,776.00</w:t>
            </w:r>
          </w:p>
        </w:tc>
      </w:tr>
      <w:tr>
        <w:trPr/>
        <w:tc>
          <w:tcPr>
            <w:tcW w:w="4410" w:type="dxa"/>
            <w:tcBorders/>
          </w:tcPr>
          <w:p>
            <w:pPr>
              <w:pStyle w:val="Normal"/>
              <w:snapToGrid w:val="false"/>
              <w:rPr/>
            </w:pPr>
            <w:r>
              <w:rPr/>
            </w:r>
          </w:p>
        </w:tc>
        <w:tc>
          <w:tcPr>
            <w:tcW w:w="4518" w:type="dxa"/>
            <w:tcBorders/>
          </w:tcPr>
          <w:p>
            <w:pPr>
              <w:pStyle w:val="Normal"/>
              <w:snapToGrid w:val="false"/>
              <w:rPr/>
            </w:pPr>
            <w:r>
              <w:rPr/>
            </w:r>
          </w:p>
        </w:tc>
      </w:tr>
      <w:tr>
        <w:trPr/>
        <w:tc>
          <w:tcPr>
            <w:tcW w:w="4410" w:type="dxa"/>
            <w:tcBorders/>
          </w:tcPr>
          <w:p>
            <w:pPr>
              <w:pStyle w:val="Normal"/>
              <w:rPr/>
            </w:pPr>
            <w:r>
              <w:rPr/>
              <w:t>ENA Deal Number:</w:t>
            </w:r>
          </w:p>
        </w:tc>
        <w:tc>
          <w:tcPr>
            <w:tcW w:w="4518" w:type="dxa"/>
            <w:tcBorders/>
          </w:tcPr>
          <w:p>
            <w:pPr>
              <w:pStyle w:val="Normal"/>
              <w:rPr/>
            </w:pPr>
            <w:r>
              <w:rPr/>
              <w:t>M132740</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2000-12-14T12:59:00Z</dcterms:created>
  <dc:creator>laurel adams</dc:creator>
  <dc:description/>
  <dc:language>en-CA</dc:language>
  <cp:lastModifiedBy>laurel adams</cp:lastModifiedBy>
  <cp:lastPrinted>1999-01-27T08:18:00Z</cp:lastPrinted>
  <dcterms:modified xsi:type="dcterms:W3CDTF">2000-12-15T14:51:00Z</dcterms:modified>
  <cp:revision>4</cp:revision>
  <dc:subject/>
  <dc:title>CANCELLATION AGREEMENT</dc:title>
</cp:coreProperties>
</file>