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sz w:val="20"/>
              </w:rPr>
            </w:pPr>
            <w:r>
              <w:rPr>
                <w:b/>
                <w:sz w:val="20"/>
              </w:rPr>
              <w:t>Enron North America Corp</w:t>
            </w:r>
          </w:p>
          <w:p>
            <w:pPr>
              <w:pStyle w:val="Normal"/>
              <w:tabs>
                <w:tab w:val="clear" w:pos="720"/>
                <w:tab w:val="left" w:pos="2412" w:leader="none"/>
              </w:tabs>
              <w:jc w:val="end"/>
              <w:rPr>
                <w:sz w:val="20"/>
              </w:rPr>
            </w:pPr>
            <w:r>
              <w:rPr>
                <w:i/>
                <w:sz w:val="20"/>
              </w:rPr>
              <w:t>P.O. Box 4428</w:t>
            </w:r>
          </w:p>
          <w:p>
            <w:pPr>
              <w:pStyle w:val="Normal"/>
              <w:tabs>
                <w:tab w:val="clear" w:pos="720"/>
                <w:tab w:val="left" w:pos="2412" w:leader="none"/>
              </w:tabs>
              <w:jc w:val="end"/>
              <w:rPr>
                <w:sz w:val="20"/>
              </w:rPr>
            </w:pPr>
            <w:r>
              <w:rPr>
                <w:i/>
                <w:sz w:val="20"/>
              </w:rPr>
              <w:t>Houston, TX  77210-4428</w:t>
            </w:r>
          </w:p>
          <w:p>
            <w:pPr>
              <w:pStyle w:val="Normal"/>
              <w:tabs>
                <w:tab w:val="clear" w:pos="720"/>
                <w:tab w:val="left" w:pos="2412" w:leader="none"/>
              </w:tabs>
              <w:jc w:val="end"/>
              <w:rPr>
                <w:sz w:val="20"/>
              </w:rPr>
            </w:pPr>
            <w:r>
              <w:rPr>
                <w:i/>
                <w:sz w:val="20"/>
              </w:rPr>
              <w:t>Phone: (713) 853-3300</w:t>
            </w:r>
          </w:p>
          <w:p>
            <w:pPr>
              <w:pStyle w:val="Normal"/>
              <w:tabs>
                <w:tab w:val="clear" w:pos="720"/>
                <w:tab w:val="left" w:pos="2412" w:leader="none"/>
              </w:tabs>
              <w:jc w:val="end"/>
              <w:rPr>
                <w:i/>
                <w:i/>
                <w:sz w:val="20"/>
              </w:rPr>
            </w:pPr>
            <w:r>
              <w:rPr>
                <w:i/>
                <w:sz w:val="20"/>
              </w:rPr>
              <w:t>Fax:  (713) 646-4816</w:t>
            </w:r>
          </w:p>
          <w:p>
            <w:pPr>
              <w:pStyle w:val="Normal"/>
              <w:tabs>
                <w:tab w:val="clear" w:pos="720"/>
                <w:tab w:val="left" w:pos="2412" w:leader="none"/>
              </w:tabs>
              <w:rPr>
                <w:i/>
                <w:i/>
                <w:sz w:val="20"/>
              </w:rPr>
            </w:pPr>
            <w:r>
              <w:rPr>
                <w:i/>
                <w:sz w:val="20"/>
              </w:rPr>
            </w:r>
          </w:p>
        </w:tc>
      </w:tr>
    </w:tbl>
    <w:p>
      <w:pPr>
        <w:pStyle w:val="Caption"/>
        <w:widowControl/>
        <w:ind w:firstLine="720" w:start="288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widowControl/>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jc w:val="center"/>
                        <w:rPr>
                          <w:sz w:val="20"/>
                        </w:rPr>
                      </w:pPr>
                      <w:r>
                        <w:rPr>
                          <w:sz w:val="20"/>
                        </w:rPr>
                      </w:r>
                    </w:p>
                  </w:txbxContent>
                </v:textbox>
                <w10:wrap type="square"/>
              </v:rect>
            </w:pict>
          </mc:Fallback>
        </mc:AlternateContent>
      </w:r>
    </w:p>
    <w:p>
      <w:pPr>
        <w:pStyle w:val="Normal"/>
        <w:widowControl/>
        <w:rPr>
          <w:sz w:val="20"/>
        </w:rPr>
      </w:pPr>
      <w:r>
        <w:rPr>
          <w:sz w:val="20"/>
        </w:rPr>
      </w:r>
    </w:p>
    <w:p>
      <w:pPr>
        <w:pStyle w:val="Normal"/>
        <w:widowControl/>
        <w:jc w:val="both"/>
        <w:rPr>
          <w:sz w:val="20"/>
        </w:rPr>
      </w:pPr>
      <w:r>
        <w:rPr>
          <w:sz w:val="20"/>
        </w:rPr>
        <w:t>Date:</w:t>
        <w:tab/>
        <w:tab/>
        <w:t>December 13, 2000</w:t>
      </w:r>
    </w:p>
    <w:p>
      <w:pPr>
        <w:pStyle w:val="Normal"/>
        <w:widowControl/>
        <w:jc w:val="both"/>
        <w:rPr>
          <w:sz w:val="20"/>
        </w:rPr>
      </w:pPr>
      <w:r>
        <w:rPr>
          <w:sz w:val="20"/>
        </w:rPr>
      </w:r>
    </w:p>
    <w:p>
      <w:pPr>
        <w:pStyle w:val="Normal"/>
        <w:widowControl/>
        <w:jc w:val="both"/>
        <w:rPr>
          <w:sz w:val="20"/>
        </w:rPr>
      </w:pPr>
      <w:r>
        <w:rPr>
          <w:sz w:val="20"/>
        </w:rPr>
        <w:t xml:space="preserve">To: </w:t>
        <w:tab/>
        <w:tab/>
        <w:t>Panther LLC (“Counterparty”)</w:t>
      </w:r>
    </w:p>
    <w:p>
      <w:pPr>
        <w:pStyle w:val="Normal"/>
        <w:widowControl/>
        <w:jc w:val="both"/>
        <w:rPr>
          <w:sz w:val="20"/>
        </w:rPr>
      </w:pPr>
      <w:r>
        <w:rPr>
          <w:sz w:val="20"/>
        </w:rPr>
      </w:r>
    </w:p>
    <w:p>
      <w:pPr>
        <w:pStyle w:val="Normal"/>
        <w:widowControl/>
        <w:jc w:val="both"/>
        <w:rPr>
          <w:sz w:val="20"/>
        </w:rPr>
      </w:pPr>
      <w:r>
        <w:rPr>
          <w:sz w:val="20"/>
        </w:rPr>
        <w:t>Attention:</w:t>
        <w:tab/>
        <w:t>Mike Beyer</w:t>
      </w:r>
    </w:p>
    <w:p>
      <w:pPr>
        <w:pStyle w:val="Normal"/>
        <w:widowControl/>
        <w:jc w:val="both"/>
        <w:rPr>
          <w:sz w:val="20"/>
        </w:rPr>
      </w:pPr>
      <w:r>
        <w:rPr>
          <w:sz w:val="20"/>
        </w:rPr>
      </w:r>
    </w:p>
    <w:p>
      <w:pPr>
        <w:pStyle w:val="Normal"/>
        <w:widowControl/>
        <w:jc w:val="both"/>
        <w:rPr>
          <w:sz w:val="20"/>
        </w:rPr>
      </w:pPr>
      <w:r>
        <w:rPr>
          <w:sz w:val="20"/>
        </w:rPr>
        <w:t>Fax No.:</w:t>
        <w:tab/>
        <w:tab/>
        <w:t xml:space="preserve">412-490-9012 </w:t>
      </w:r>
    </w:p>
    <w:p>
      <w:pPr>
        <w:pStyle w:val="Normal"/>
        <w:widowControl/>
        <w:jc w:val="both"/>
        <w:rPr>
          <w:sz w:val="20"/>
        </w:rPr>
      </w:pPr>
      <w:r>
        <w:rPr>
          <w:sz w:val="20"/>
        </w:rPr>
      </w:r>
    </w:p>
    <w:p>
      <w:pPr>
        <w:pStyle w:val="Normal"/>
        <w:widowControl/>
        <w:jc w:val="both"/>
        <w:rPr>
          <w:sz w:val="20"/>
        </w:rPr>
      </w:pPr>
      <w:r>
        <w:rPr>
          <w:sz w:val="20"/>
        </w:rPr>
        <w:t>From:</w:t>
        <w:tab/>
        <w:tab/>
        <w:t>Enron North America Corp. (“ENA”)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M360280</w:t>
      </w:r>
    </w:p>
    <w:p>
      <w:pPr>
        <w:pStyle w:val="Normal"/>
        <w:widowControl/>
        <w:jc w:val="both"/>
        <w:rPr>
          <w:color w:val="FF0000"/>
          <w:sz w:val="20"/>
        </w:rPr>
      </w:pPr>
      <w:r>
        <w:rPr>
          <w:color w:val="FF0000"/>
          <w:sz w:val="20"/>
        </w:rPr>
      </w:r>
    </w:p>
    <w:p>
      <w:pPr>
        <w:pStyle w:val="Normal"/>
        <w:rPr>
          <w:sz w:val="20"/>
        </w:rPr>
      </w:pPr>
      <w:r>
        <w:rPr>
          <w:sz w:val="20"/>
        </w:rPr>
        <w:t>The purpose of this document is to confirm the terms and conditions of the Transaction entered into between Enron North America Corp. and Panther LLC on the Trade Date mentioned below (the “Transaction”).  This document constitutes a “Confirmation” as referred to in the ISDA Agreement specified below.</w:t>
      </w:r>
    </w:p>
    <w:p>
      <w:pPr>
        <w:pStyle w:val="Normal"/>
        <w:rPr>
          <w:sz w:val="20"/>
        </w:rPr>
      </w:pPr>
      <w:r>
        <w:rPr>
          <w:sz w:val="20"/>
        </w:rPr>
      </w:r>
    </w:p>
    <w:p>
      <w:pPr>
        <w:pStyle w:val="Normal"/>
        <w:rPr>
          <w:sz w:val="20"/>
        </w:rPr>
      </w:pPr>
      <w:r>
        <w:rPr>
          <w:sz w:val="20"/>
        </w:rPr>
      </w:r>
    </w:p>
    <w:p>
      <w:pPr>
        <w:pStyle w:val="BodyText2"/>
        <w:rPr>
          <w:sz w:val="20"/>
        </w:rPr>
      </w:pPr>
      <w:r>
        <w:rPr>
          <w:sz w:val="20"/>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jc w:val="both"/>
        <w:rPr>
          <w:sz w:val="20"/>
        </w:rPr>
      </w:pPr>
      <w:r>
        <w:rPr>
          <w:sz w:val="20"/>
        </w:rPr>
      </w:r>
    </w:p>
    <w:p>
      <w:pPr>
        <w:pStyle w:val="Normal"/>
        <w:jc w:val="both"/>
        <w:rPr>
          <w:sz w:val="20"/>
        </w:rPr>
      </w:pPr>
      <w:r>
        <w:rPr>
          <w:sz w:val="20"/>
        </w:rPr>
      </w:r>
    </w:p>
    <w:p>
      <w:pPr>
        <w:pStyle w:val="Normal"/>
        <w:jc w:val="both"/>
        <w:rPr/>
      </w:pPr>
      <w:r>
        <w:rPr>
          <w:sz w:val="20"/>
        </w:rPr>
        <w:t>1.</w:t>
        <w:tab/>
        <w:t xml:space="preserve">This Confirmation supplements, forms part of, and is subject to, the </w:t>
      </w:r>
      <w:r>
        <w:rPr>
          <w:color w:val="FF00FF"/>
          <w:sz w:val="20"/>
        </w:rPr>
        <w:t>ISDA Master Agreement</w:t>
      </w:r>
      <w:r>
        <w:rPr>
          <w:sz w:val="20"/>
        </w:rPr>
        <w:t xml:space="preserve"> dated as of December 15, 1998, as amended and supplemented from time to time (the “Agreement”), between you and us.  All provisions contained in the Agreement govern this Confirmation except as expressly modified below.</w:t>
      </w:r>
    </w:p>
    <w:p>
      <w:pPr>
        <w:pStyle w:val="BodyText"/>
        <w:jc w:val="both"/>
        <w:rPr>
          <w:sz w:val="20"/>
        </w:rPr>
      </w:pPr>
      <w:r>
        <w:rPr>
          <w:sz w:val="20"/>
        </w:rPr>
      </w:r>
    </w:p>
    <w:p>
      <w:pPr>
        <w:pStyle w:val="Normal"/>
        <w:jc w:val="both"/>
        <w:rPr>
          <w:sz w:val="20"/>
        </w:rPr>
      </w:pPr>
      <w:r>
        <w:rPr>
          <w:sz w:val="20"/>
        </w:rPr>
      </w:r>
    </w:p>
    <w:p>
      <w:pPr>
        <w:pStyle w:val="Norma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 8,577,000.00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December 13,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December 13,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December 15, 2001, subject to adjustment in accordance with the Modified Following Business Day Convention</w:t>
            </w:r>
          </w:p>
        </w:tc>
      </w:tr>
    </w:tbl>
    <w:p>
      <w:pPr>
        <w:pStyle w:val="BodyTextIndent"/>
        <w:widowControl/>
        <w:tabs>
          <w:tab w:val="left" w:pos="90" w:leader="none"/>
          <w:tab w:val="left" w:pos="2160" w:leader="none"/>
          <w:tab w:val="left" w:pos="4140" w:leader="none"/>
          <w:tab w:val="left" w:pos="4320" w:leader="none"/>
          <w:tab w:val="left" w:pos="6480" w:leader="none"/>
        </w:tabs>
        <w:ind w:hanging="720"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Counterparty</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December 31, 2000; March 31, 2001, June 30, 2001, September 30, 2001 and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5.375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30/360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ENA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Payer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December 31, 2000; March 31, 2001, June 30, 2001, September 30, 2001 and the Termination Date, subject to adjustment in accordance with the Modified Following Business Day Convention</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for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Initial Calculation Period:</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6.58 percent</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Three months, with the exception of the Initial Calculation Period which shall be the linear interpolation of the 1 week and 1month LIBOR rates; and the Final Calculation Period which shall be the linear interpolation of the 2 month and 3 month LIBOR rates</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Compounding:</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Inapplicable</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ENA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ECT:</w:t>
            </w:r>
          </w:p>
        </w:tc>
        <w:tc>
          <w:tcPr>
            <w:tcW w:w="5328" w:type="dxa"/>
            <w:gridSpan w:val="2"/>
            <w:tcBorders/>
          </w:tcPr>
          <w:p>
            <w:pPr>
              <w:pStyle w:val="Normal"/>
              <w:widowControl/>
              <w:spacing w:before="60" w:after="0"/>
              <w:jc w:val="both"/>
              <w:rPr>
                <w:sz w:val="20"/>
              </w:rPr>
            </w:pPr>
            <w:r>
              <w:rPr>
                <w:sz w:val="20"/>
              </w:rPr>
              <w:t>Nations Bank of Texas, Dallas</w:t>
            </w:r>
          </w:p>
          <w:p>
            <w:pPr>
              <w:pStyle w:val="Normal"/>
              <w:widowControl/>
              <w:spacing w:before="60" w:after="0"/>
              <w:jc w:val="both"/>
              <w:rPr>
                <w:sz w:val="20"/>
              </w:rPr>
            </w:pPr>
            <w:r>
              <w:rPr>
                <w:sz w:val="20"/>
              </w:rPr>
              <w:t>ABA 111-000-012</w:t>
            </w:r>
          </w:p>
          <w:p>
            <w:pPr>
              <w:pStyle w:val="Normal"/>
              <w:widowControl/>
              <w:spacing w:before="60" w:after="0"/>
              <w:jc w:val="both"/>
              <w:rPr>
                <w:sz w:val="20"/>
              </w:rPr>
            </w:pPr>
            <w:r>
              <w:rPr>
                <w:sz w:val="20"/>
              </w:rPr>
              <w:t>Acct.: 3750494727</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Counterparty:</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As specified in the Agreement</w:t>
            </w:r>
          </w:p>
        </w:tc>
      </w:tr>
    </w:tbl>
    <w:p>
      <w:pPr>
        <w:pStyle w:val="Normal"/>
        <w:widowControl/>
        <w:jc w:val="both"/>
        <w:rPr>
          <w:sz w:val="20"/>
        </w:rPr>
      </w:pPr>
      <w:r>
        <w:rPr>
          <w:sz w:val="20"/>
        </w:rPr>
      </w:r>
    </w:p>
    <w:p>
      <w:pPr>
        <w:pStyle w:val="BodyTextIndent"/>
        <w:tabs>
          <w:tab w:val="left" w:pos="90" w:leader="none"/>
          <w:tab w:val="left" w:pos="810" w:leader="none"/>
          <w:tab w:val="left" w:pos="2160" w:leader="none"/>
          <w:tab w:val="left" w:pos="4320" w:leader="none"/>
          <w:tab w:val="left" w:pos="6480" w:leader="none"/>
        </w:tabs>
        <w:ind w:start="0" w:end="0"/>
        <w:rPr>
          <w:sz w:val="20"/>
        </w:rPr>
      </w:pPr>
      <w:r>
        <w:rPr>
          <w:sz w:val="20"/>
        </w:rPr>
      </w:r>
    </w:p>
    <w:p>
      <w:pPr>
        <w:pStyle w:val="BodyTextIndent"/>
        <w:tabs>
          <w:tab w:val="left" w:pos="90" w:leader="none"/>
          <w:tab w:val="left" w:pos="810" w:leader="none"/>
          <w:tab w:val="left" w:pos="2160" w:leader="none"/>
          <w:tab w:val="left" w:pos="4320" w:leader="none"/>
          <w:tab w:val="left" w:pos="6480" w:leader="none"/>
        </w:tabs>
        <w:ind w:start="0" w:end="0"/>
        <w:rPr/>
      </w:pPr>
      <w:r>
        <w:rPr/>
        <w:t>Terms used and not otherwise defined in this Confirmation shall have the meanings given them in the Agreement.</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t>If this Confirmation correctly sets forth the terms of the above-referenced Transaction, please so indicate by signing below and sending this Confirmation (or a copy hereof) to us.</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t>If this Confirmation contains any error, please notify ENA immediately.  Failure to notify ENA of a bona fide error in this Confirmation or failure to accept this Confirmation as provided in Section 1 of the Agreement after receipt by Counterparty shall result in this Confirmation being deemed binding as sent.</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tab/>
        <w:t>We look forward to receiving your prompt reply.</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Normal"/>
        <w:widowControl/>
        <w:jc w:val="both"/>
        <w:rPr>
          <w:sz w:val="20"/>
        </w:rPr>
      </w:pPr>
      <w:r>
        <w:rPr>
          <w:sz w:val="20"/>
        </w:rPr>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Panther LLC</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p>
    <w:p>
      <w:pPr>
        <w:pStyle w:val="Normal"/>
        <w:widowControl/>
        <w:jc w:val="both"/>
        <w:rPr>
          <w:sz w:val="20"/>
        </w:rPr>
      </w:pPr>
      <w:r>
        <w:rPr>
          <w:sz w:val="20"/>
        </w:rPr>
      </w:r>
    </w:p>
    <w:p>
      <w:pPr>
        <w:pStyle w:val="Normal"/>
        <w:widowControl/>
        <w:jc w:val="center"/>
        <w:rPr>
          <w:sz w:val="20"/>
        </w:rPr>
      </w:pPr>
      <w:r>
        <w:rPr>
          <w:sz w:val="20"/>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M360280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laurel adams</cp:lastModifiedBy>
  <cp:lastPrinted>1999-01-06T17:01:00Z</cp:lastPrinted>
  <dcterms:modified xsi:type="dcterms:W3CDTF">2000-12-15T14:31:00Z</dcterms:modified>
  <cp:revision>4</cp:revision>
  <dc:subject/>
  <dc:title> 1400 Smith  Houston, TX 77002 (713) 853-3300 Fax (713) 646-4816</dc:title>
</cp:coreProperties>
</file>