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jc w:val="both"/>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International, Inc., a corporation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Panda has become a Member of the Company, and ENA and Panda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Heading1"/>
        <w:ind w:hanging="0" w:start="0"/>
        <w:rPr/>
      </w:pPr>
      <w:r>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jc w:val="both"/>
        <w:rPr/>
      </w:pPr>
      <w:r>
        <w:rPr/>
        <w:t>2.1</w:t>
        <w:tab/>
      </w:r>
      <w:r>
        <w:rPr>
          <w:u w:val="single"/>
        </w:rPr>
        <w:t>Formation; Term</w:t>
      </w:r>
      <w:r>
        <w:rPr/>
        <w:t>.  The Company was formed as Newco,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Heading1"/>
        <w:ind w:hanging="0" w:start="0"/>
        <w:rPr/>
      </w:pPr>
      <w:r>
        <w:rPr/>
        <w:t>REPRESENTATIONS AND WARRANTIES</w:t>
      </w:r>
    </w:p>
    <w:p>
      <w:pPr>
        <w:pStyle w:val="Normal"/>
        <w:widowControl/>
        <w:rPr/>
      </w:pPr>
      <w:r>
        <w:rPr/>
      </w:r>
    </w:p>
    <w:p>
      <w:pPr>
        <w:pStyle w:val="Normal"/>
        <w:widowControl/>
        <w:ind w:firstLine="720" w:end="0"/>
        <w:jc w:val="both"/>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and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Header"/>
        <w:widowControl/>
        <w:tabs>
          <w:tab w:val="clear" w:pos="4320"/>
          <w:tab w:val="clear" w:pos="8640"/>
        </w:tabs>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four LM6000 enhanced SPRINT dual-fuel combustion turbine generator sets (the “</w:t>
      </w:r>
      <w:r>
        <w:rPr>
          <w:u w:val="single"/>
        </w:rPr>
        <w:t>GE Equipment</w:t>
      </w:r>
      <w:r>
        <w:rPr/>
        <w:t>”) from GE.</w:t>
      </w:r>
    </w:p>
    <w:p>
      <w:pPr>
        <w:pStyle w:val="Header"/>
        <w:widowControl/>
        <w:tabs>
          <w:tab w:val="clear" w:pos="4320"/>
          <w:tab w:val="clear" w:pos="8640"/>
        </w:tabs>
        <w:rPr/>
      </w:pPr>
      <w:r>
        <w:rPr/>
      </w:r>
    </w:p>
    <w:p>
      <w:pPr>
        <w:pStyle w:val="Normal"/>
        <w:widowControl/>
        <w:ind w:firstLine="720" w:end="0"/>
        <w:jc w:val="both"/>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jc w:val="both"/>
        <w:rPr/>
      </w:pPr>
      <w:r>
        <w:rPr/>
        <w:t xml:space="preserve">3.2.1.  </w:t>
      </w:r>
      <w:r>
        <w:rPr>
          <w:u w:val="single"/>
        </w:rPr>
        <w:t>Corporate Organization; Etc.</w:t>
      </w:r>
      <w:r>
        <w:rPr/>
        <w:t xml:space="preserve">  Panda is a corporation duly organized, validly existing and in good standing under the laws of the State of Delaware.</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Articles or Certificate of Incorporation, its Bylaws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Neither the execution, delivery or performance of this Agreement by Panda will violate any provision of the Articles or Certificate of Incorporation or Bylaws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Header"/>
        <w:widowControl/>
        <w:tabs>
          <w:tab w:val="clear" w:pos="4320"/>
          <w:tab w:val="clear" w:pos="8640"/>
        </w:tabs>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and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jc w:val="both"/>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BodyTextInden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Header"/>
        <w:widowControl/>
        <w:tabs>
          <w:tab w:val="clear" w:pos="4320"/>
          <w:tab w:val="clear" w:pos="8640"/>
        </w:tabs>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Panda are __________________, __________________, and __________________, and the initial Director designated by ENA is __________________.</w:t>
      </w:r>
    </w:p>
    <w:p>
      <w:pPr>
        <w:pStyle w:val="Normal"/>
        <w:widowControl/>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BodyTextIndent2"/>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BodyTextIndent3"/>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Header"/>
        <w:widowControl/>
        <w:tabs>
          <w:tab w:val="clear" w:pos="4320"/>
          <w:tab w:val="clear" w:pos="8640"/>
        </w:tabs>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BodyText"/>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BodyTextIndent2"/>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jc w:val="both"/>
        <w:rPr/>
      </w:pPr>
      <w:r>
        <w:rPr/>
        <w:t>4.7</w:t>
        <w:tab/>
      </w:r>
      <w:r>
        <w:rPr>
          <w:u w:val="single"/>
        </w:rPr>
        <w:t>Tax Matters Member</w:t>
      </w:r>
      <w:r>
        <w:rPr/>
        <w:t>.</w:t>
      </w:r>
    </w:p>
    <w:p>
      <w:pPr>
        <w:pStyle w:val="Header"/>
        <w:widowControl/>
        <w:tabs>
          <w:tab w:val="clear" w:pos="4320"/>
          <w:tab w:val="clear" w:pos="8640"/>
        </w:tabs>
        <w:jc w:val="both"/>
        <w:rPr/>
      </w:pPr>
      <w:r>
        <w:rPr/>
      </w:r>
    </w:p>
    <w:p>
      <w:pPr>
        <w:pStyle w:val="Normal"/>
        <w:widowControl/>
        <w:ind w:firstLine="1440" w:end="0"/>
        <w:jc w:val="both"/>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BodyTextIndent2"/>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BodyTextIndent2"/>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Panda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Panda in accordance with their Percentage Interests.</w:t>
      </w:r>
    </w:p>
    <w:p>
      <w:pPr>
        <w:pStyle w:val="Normal"/>
        <w:widowControl/>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Header"/>
        <w:widowControl/>
        <w:tabs>
          <w:tab w:val="clear" w:pos="4320"/>
          <w:tab w:val="clear" w:pos="8640"/>
        </w:tabs>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Header"/>
        <w:widowControl/>
        <w:tabs>
          <w:tab w:val="clear" w:pos="4320"/>
          <w:tab w:val="clear" w:pos="8640"/>
        </w:tabs>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Heading1"/>
        <w:ind w:hanging="0" w:start="0"/>
        <w:rPr/>
      </w:pPr>
      <w:r>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Panda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BodyText"/>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Panda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2002.  The price to be paid by Panda for the ENA Interest at the Call Closing following exercise of the Call Right by Panda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jc w:val="both"/>
        <w:rPr/>
      </w:pPr>
      <w:r>
        <w:rPr/>
        <w:t>(c)</w:t>
        <w:tab/>
        <w:t>ENA shall have the right in its sole discretion to require Panda to purchase the ENA Interest (the “</w:t>
      </w:r>
      <w:r>
        <w:rPr>
          <w:u w:val="single"/>
        </w:rPr>
        <w:t>Put Right</w:t>
      </w:r>
      <w:r>
        <w:rPr/>
        <w:t>”) at any time on or after (i) the date on which the GE Equipment achieves Takeover, or (ii) December 31, 2002.  The price to be paid by Panda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jc w:val="both"/>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jc w:val="both"/>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Panda.</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BodyTextIndent2"/>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jc w:val="center"/>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Panda, to:</w:t>
      </w:r>
    </w:p>
    <w:p>
      <w:pPr>
        <w:pStyle w:val="Normal"/>
        <w:keepNext w:val="true"/>
        <w:widowControl/>
        <w:jc w:val="both"/>
        <w:rPr/>
      </w:pPr>
      <w:r>
        <w:rPr/>
      </w:r>
    </w:p>
    <w:p>
      <w:pPr>
        <w:pStyle w:val="Normal"/>
        <w:keepNext w:val="true"/>
        <w:widowControl/>
        <w:ind w:firstLine="2160" w:end="0"/>
        <w:jc w:val="both"/>
        <w:rPr/>
      </w:pPr>
      <w:r>
        <w:rPr/>
        <w:t>Panda Energy International, Inc.</w:t>
      </w:r>
    </w:p>
    <w:p>
      <w:pPr>
        <w:pStyle w:val="Normal"/>
        <w:keepNext w:val="true"/>
        <w:widowControl/>
        <w:ind w:firstLine="2160" w:end="0"/>
        <w:jc w:val="both"/>
        <w:rPr/>
      </w:pPr>
      <w:r>
        <w:rPr/>
        <w:t>4100 Spring Valley, Suite 1001</w:t>
      </w:r>
    </w:p>
    <w:p>
      <w:pPr>
        <w:pStyle w:val="Normal"/>
        <w:keepNext w:val="true"/>
        <w:widowControl/>
        <w:ind w:firstLine="2160" w:end="0"/>
        <w:jc w:val="both"/>
        <w:rPr/>
      </w:pPr>
      <w:r>
        <w:rPr/>
        <w:t>Dallas, Texas  75244</w:t>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bCs/>
          <w:sz w:val="22"/>
        </w:rPr>
        <w:t>(</w:t>
      </w:r>
      <w:r>
        <w:rPr>
          <w:bCs/>
        </w:rPr>
        <w:t>a)</w:t>
      </w:r>
      <w:r>
        <w:rPr/>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w:t>
      </w:r>
      <w:r>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w:t>
      </w:r>
      <w:r>
        <w:rPr/>
        <w:tab/>
        <w:t>The respondent Party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(iii)</w:t>
      </w:r>
      <w:r>
        <w:rPr/>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bCs/>
        </w:rPr>
        <w:t>(1)</w:t>
      </w:r>
      <w:r>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Cs/>
        </w:rPr>
        <w:t>(2)</w:t>
      </w:r>
      <w:r>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pPr>
      <w:r>
        <w:rPr/>
      </w:r>
    </w:p>
    <w:p>
      <w:pPr>
        <w:pStyle w:val="Normal"/>
        <w:widowControl/>
        <w:ind w:firstLine="720" w:start="1440" w:end="0"/>
        <w:jc w:val="both"/>
        <w:rPr/>
      </w:pPr>
      <w:r>
        <w:rPr>
          <w:bCs/>
        </w:rPr>
        <w:t>(3)</w:t>
      </w:r>
      <w:r>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(iv)</w:t>
      </w:r>
      <w:r>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w:t>
      </w:r>
      <w:r>
        <w:rPr/>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bCs/>
        </w:rPr>
        <w:t>(1)</w:t>
      </w:r>
      <w:r>
        <w:rPr/>
        <w:tab/>
        <w:t>The arbitration hearing shall be held in Houston, Texas, at a location mutually agreed by the Parties, or failing such agreement, at a location determined by the arbitration panel;</w:t>
      </w:r>
    </w:p>
    <w:p>
      <w:pPr>
        <w:pStyle w:val="Normal"/>
        <w:widowControl/>
        <w:jc w:val="both"/>
        <w:rPr/>
      </w:pPr>
      <w:r>
        <w:rPr/>
      </w:r>
    </w:p>
    <w:p>
      <w:pPr>
        <w:pStyle w:val="Normal"/>
        <w:widowControl/>
        <w:ind w:firstLine="720" w:start="1440" w:end="0"/>
        <w:jc w:val="both"/>
        <w:rPr/>
      </w:pPr>
      <w:r>
        <w:rPr>
          <w:bCs/>
        </w:rPr>
        <w:t>(2)</w:t>
      </w:r>
      <w:r>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bCs/>
        </w:rPr>
        <w:t>(3)</w:t>
      </w:r>
      <w:r>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w:t>
        <w:tab/>
      </w:r>
      <w:r>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bCs/>
        </w:rPr>
        <w:t>(1)</w:t>
        <w:tab/>
      </w:r>
      <w:r>
        <w:rPr/>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bCs/>
        </w:rPr>
        <w:t>(2)</w:t>
      </w:r>
      <w:r>
        <w:rPr/>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bCs/>
        </w:rPr>
        <w:t>(3)</w:t>
      </w:r>
      <w:r>
        <w:rPr/>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w:t>
      </w:r>
      <w:r>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(viii)</w:t>
        <w:tab/>
      </w:r>
      <w:r>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(ix)</w:t>
        <w:tab/>
      </w:r>
      <w:r>
        <w:rPr/>
        <w:t>All time limits stated in this section are for the convenience of the Parties and may be altered upon mutual agreement of the parties.</w:t>
      </w:r>
    </w:p>
    <w:p>
      <w:pPr>
        <w:pStyle w:val="Normal"/>
        <w:widowControl/>
        <w:jc w:val="both"/>
        <w:rPr>
          <w:color w:val="000000"/>
        </w:rPr>
      </w:pPr>
      <w:r>
        <w:rPr>
          <w:color w:val="000000"/>
        </w:rPr>
      </w:r>
    </w:p>
    <w:p>
      <w:pPr>
        <w:pStyle w:val="Normal"/>
        <w:widowControl/>
        <w:ind w:firstLine="1440" w:end="0"/>
        <w:jc w:val="both"/>
        <w:rPr/>
      </w:pPr>
      <w:r>
        <w:rPr>
          <w:bCs/>
        </w:rPr>
        <w:t>(b)</w:t>
      </w:r>
      <w:r>
        <w:rPr/>
        <w:tab/>
      </w:r>
      <w:r>
        <w:rPr>
          <w:u w:val="single"/>
        </w:rPr>
        <w:t>Sole and Exclusive Remedy</w:t>
      </w:r>
      <w:r>
        <w:rPr/>
        <w:t>.  The procedures specified in this Section 10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r>
        <w:rPr>
          <w:sz w:val="22"/>
        </w:rPr>
        <w:t>.</w:t>
      </w:r>
    </w:p>
    <w:p>
      <w:pPr>
        <w:pStyle w:val="Header"/>
        <w:widowControl/>
        <w:tabs>
          <w:tab w:val="clear" w:pos="4320"/>
          <w:tab w:val="clear" w:pos="8640"/>
        </w:tabs>
        <w:rPr>
          <w:sz w:val="22"/>
        </w:rPr>
      </w:pPr>
      <w:r>
        <w:rPr>
          <w:sz w:val="22"/>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PANDA ENERGY INTERNATIONAL, INC.</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t>Title:</w:t>
      </w:r>
    </w:p>
    <w:p>
      <w:pPr>
        <w:pStyle w:val="Normal"/>
        <w:widowControl/>
        <w:jc w:val="center"/>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Panda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Panda</w:t>
      </w:r>
      <w:r>
        <w:rPr/>
        <w:t>” is defined in the preamble.</w:t>
      </w:r>
    </w:p>
    <w:p>
      <w:pPr>
        <w:pStyle w:val="Normal"/>
        <w:widowControl/>
        <w:jc w:val="both"/>
        <w:rPr/>
      </w:pPr>
      <w:r>
        <w:rPr/>
      </w:r>
    </w:p>
    <w:p>
      <w:pPr>
        <w:pStyle w:val="Normal"/>
        <w:widowControl/>
        <w:ind w:firstLine="1440" w:end="0"/>
        <w:jc w:val="both"/>
        <w:rPr/>
      </w:pPr>
      <w:r>
        <w:rPr/>
        <w:t>“</w:t>
      </w:r>
      <w:r>
        <w:rPr>
          <w:u w:val="single"/>
        </w:rPr>
        <w:t>Panda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Takeover</w:t>
      </w:r>
      <w:r>
        <w:rPr/>
        <w:t>” shall have the meaning given to such term in the Turbine Contract as of the date of closing of the transactions contemplated by the Letter Agreement.</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is defined in Section 3.1.5.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Heading2"/>
        <w:ind w:hanging="0" w:start="0"/>
        <w:rPr/>
      </w:pPr>
      <w:r>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jc w:val="both"/>
        <w:rPr/>
      </w:pPr>
      <w:r>
        <w:rPr/>
        <w:t>1.1</w:t>
        <w:tab/>
        <w:t>As used herein “</w:t>
      </w:r>
      <w:r>
        <w:rPr>
          <w:u w:val="single"/>
        </w:rPr>
        <w:t>Confidential Information</w:t>
      </w:r>
      <w:r>
        <w:rPr/>
        <w:t>” shall mean ENA Confidential Information and/or Panda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Panda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Panda Confidential Information</w:t>
      </w:r>
      <w:r>
        <w:rPr/>
        <w:t>” shall mean any and all information, including trade secrets and know</w:t>
        <w:noBreakHyphen/>
        <w:t>how proprietary to Panda, that is disclosed to ENA by Panda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Header"/>
        <w:widowControl/>
        <w:tabs>
          <w:tab w:val="clear" w:pos="4320"/>
          <w:tab w:val="clear" w:pos="8640"/>
        </w:tabs>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2"/>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Normal"/>
        <w:widowControl/>
        <w:jc w:val="center"/>
        <w:rPr>
          <w:b/>
          <w:u w:val="single"/>
        </w:rPr>
      </w:pPr>
      <w:r>
        <w:rPr>
          <w:b/>
          <w:u w:val="single"/>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rPr>
  </w:style>
  <w:style w:type="paragraph" w:styleId="Heading2">
    <w:name w:val="heading 2"/>
    <w:basedOn w:val="Normal"/>
    <w:next w:val="Normal"/>
    <w:qFormat/>
    <w:pPr>
      <w:keepNext w:val="true"/>
      <w:widowControl/>
      <w:numPr>
        <w:ilvl w:val="1"/>
        <w:numId w:val="1"/>
      </w:numPr>
      <w:jc w:val="center"/>
      <w:outlineLvl w:val="1"/>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BodyTextIndent">
    <w:name w:val="Body Text Indent"/>
    <w:basedOn w:val="Normal"/>
    <w:pPr>
      <w:widowControl/>
      <w:ind w:hanging="720" w:start="1440" w:end="0"/>
      <w:jc w:val="both"/>
    </w:pPr>
    <w:rPr/>
  </w:style>
  <w:style w:type="paragraph" w:styleId="BodyTextIndent2">
    <w:name w:val="Body Text Indent 2"/>
    <w:basedOn w:val="Normal"/>
    <w:qFormat/>
    <w:pPr>
      <w:widowControl/>
      <w:ind w:firstLine="1440" w:start="0" w:end="0"/>
      <w:jc w:val="both"/>
    </w:pPr>
    <w:rPr/>
  </w:style>
  <w:style w:type="paragraph" w:styleId="BodyTextIndent3">
    <w:name w:val="Body Text Indent 3"/>
    <w:basedOn w:val="Normal"/>
    <w:qFormat/>
    <w:pPr>
      <w:widowControl/>
      <w:ind w:firstLine="144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2001-03-07T11:43:00Z</dcterms:created>
  <dc:creator>Carolyn Campbell</dc:creator>
  <dc:description>Houston-136486 v3</dc:description>
  <dc:language>en-CA</dc:language>
  <cp:lastModifiedBy>kmann</cp:lastModifiedBy>
  <cp:lastPrinted>2001-03-07T09:31:00Z</cp:lastPrinted>
  <dcterms:modified xsi:type="dcterms:W3CDTF">2001-03-07T13:01:00Z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