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International, Inc., a corporation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Panda has become a Member of the Company, and ENA and Panda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Newco,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four LM6000 enhanced SPRINT dual-fuel combustion turbine generator sets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Panda is a corporation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Articles or Certificate of Incorporation, its Bylaws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Panda will violate any provision of the Articles or Certificate of Incorporation or Bylaws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Panda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Panda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Panda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Panda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Panda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2002.  The price to be paid by Panda for the ENA Interest at the Call Closing following exercise of the Call Right by Panda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Panda to purchase the ENA Interest (the “</w:t>
      </w:r>
      <w:r>
        <w:rPr>
          <w:u w:val="single"/>
        </w:rPr>
        <w:t>Put Right</w:t>
      </w:r>
      <w:r>
        <w:rPr/>
        <w:t>”) at any time on or after (i) the date on which the GE Equipment achieves Takeover, or (ii) December 31, 2002.  The price to be paid by Panda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Panda.</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Panda, to:</w:t>
      </w:r>
    </w:p>
    <w:p>
      <w:pPr>
        <w:pStyle w:val="Normal"/>
        <w:keepNext w:val="true"/>
        <w:widowControl/>
        <w:rPr/>
      </w:pPr>
      <w:r>
        <w:rPr/>
      </w:r>
    </w:p>
    <w:p>
      <w:pPr>
        <w:pStyle w:val="Normal"/>
        <w:keepNext w:val="true"/>
        <w:widowControl/>
        <w:ind w:firstLine="2160" w:end="0"/>
        <w:rPr/>
      </w:pPr>
      <w:r>
        <w:rPr/>
        <w:t>Panda Energy International, Inc.</w:t>
      </w:r>
    </w:p>
    <w:p>
      <w:pPr>
        <w:pStyle w:val="Normal"/>
        <w:keepNext w:val="true"/>
        <w:widowControl/>
        <w:ind w:firstLine="2160" w:end="0"/>
        <w:rPr/>
      </w:pPr>
      <w:r>
        <w:rPr/>
        <w:t>4100 Spring Valley, Suite 1001</w:t>
      </w:r>
    </w:p>
    <w:p>
      <w:pPr>
        <w:pStyle w:val="Normal"/>
        <w:keepNext w:val="true"/>
        <w:widowControl/>
        <w:ind w:firstLine="2160" w:end="0"/>
        <w:rPr/>
      </w:pPr>
      <w:r>
        <w:rPr/>
        <w:t>Dallas, Texas  75244</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PANDA ENERGY INTERNATIONAL, INC.</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Panda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Panda</w:t>
      </w:r>
      <w:r>
        <w:rPr/>
        <w:t>” is defined in the preamble.</w:t>
      </w:r>
    </w:p>
    <w:p>
      <w:pPr>
        <w:pStyle w:val="Normal"/>
        <w:widowControl/>
        <w:rPr/>
      </w:pPr>
      <w:r>
        <w:rPr/>
      </w:r>
    </w:p>
    <w:p>
      <w:pPr>
        <w:pStyle w:val="Normal"/>
        <w:widowControl/>
        <w:ind w:firstLine="1440" w:end="0"/>
        <w:rPr/>
      </w:pPr>
      <w:r>
        <w:rPr/>
        <w:t>“</w:t>
      </w:r>
      <w:r>
        <w:rPr>
          <w:u w:val="single"/>
        </w:rPr>
        <w:t>Panda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Takeover</w:t>
      </w:r>
      <w:r>
        <w:rPr/>
        <w:t>” shall have the meaning given to such term in the Turbine Contract as of the date of closing of the transactions contemplated by the Letter Agreement.</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Panda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Panda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Panda Confidential Information</w:t>
      </w:r>
      <w:r>
        <w:rPr/>
        <w:t>” shall mean any and all information, including trade secrets and know</w:t>
        <w:noBreakHyphen/>
        <w:t>how proprietary to Panda, that is disclosed to ENA by Panda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58">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2001-03-07T00:10:00Z</dcterms:created>
  <dc:creator>Carolyn Campbell</dc:creator>
  <dc:description>Houston-136486 v3</dc:description>
  <dc:language>en-CA</dc:language>
  <cp:lastModifiedBy>kmann</cp:lastModifiedBy>
  <cp:lastPrinted>2001-03-06T12:21:00Z</cp:lastPrinted>
  <dcterms:modified xsi:type="dcterms:W3CDTF">2001-03-07T00:16:00Z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