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drawing>
          <wp:inline distT="0" distB="0" distL="0" distR="0">
            <wp:extent cx="3573780" cy="716915"/>
            <wp:effectExtent l="0" t="0" r="0" b="0"/>
            <wp:docPr id="1" name="Apxlogo_R_sm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xlogo_R_sm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36" r="-7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APX Palo Verde Market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Delivery</w:t>
        <w:tab/>
        <w:tab/>
        <w:t>Palo Verde</w:t>
      </w:r>
    </w:p>
    <w:p>
      <w:pPr>
        <w:pStyle w:val="Normal"/>
        <w:rPr/>
      </w:pPr>
      <w:r>
        <w:rPr/>
        <w:t>Location: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Market:</w:t>
        <w:tab/>
        <w:tab/>
        <w:t>Continuous Bid-Ask Market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Products: </w:t>
        <w:tab/>
        <w:t>Daily Firm On-Peak (HE 7-22)</w:t>
      </w:r>
    </w:p>
    <w:p>
      <w:pPr>
        <w:pStyle w:val="Normal"/>
        <w:ind w:start="2160" w:end="0"/>
        <w:rPr/>
      </w:pPr>
      <w:r>
        <w:rPr/>
        <w:t>Opening Time – 0500 3 days ahead (Monday delivery day opens on Friday at 0500)</w:t>
      </w:r>
    </w:p>
    <w:p>
      <w:pPr>
        <w:pStyle w:val="Normal"/>
        <w:rPr/>
      </w:pPr>
      <w:r>
        <w:rPr/>
        <w:tab/>
        <w:tab/>
        <w:tab/>
        <w:t>Closing Time – 1100 day ahead</w:t>
      </w:r>
    </w:p>
    <w:p>
      <w:pPr>
        <w:pStyle w:val="Normal"/>
        <w:rPr/>
      </w:pPr>
      <w:r>
        <w:rPr/>
        <w:tab/>
        <w:tab/>
        <w:t>Hourly Firm</w:t>
      </w:r>
    </w:p>
    <w:p>
      <w:pPr>
        <w:pStyle w:val="Normal"/>
        <w:rPr/>
      </w:pPr>
      <w:r>
        <w:rPr/>
        <w:tab/>
        <w:tab/>
        <w:tab/>
        <w:t>Rolling 24 hours – as one-hour closes, another hour opens 24 hours in the future</w:t>
      </w:r>
    </w:p>
    <w:p>
      <w:pPr>
        <w:pStyle w:val="Normal"/>
        <w:rPr/>
      </w:pPr>
      <w:r>
        <w:rPr/>
        <w:tab/>
        <w:tab/>
        <w:tab/>
        <w:t>Closing Time – ½ hour before dispatch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Lot Sizes:</w:t>
        <w:tab/>
        <w:t>1 MW, 5 MW, 25 MW, All or Nothing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</w:t>
        <w:tab/>
        <w:tab/>
        <w:t>Self-Managed Credit</w:t>
      </w:r>
    </w:p>
    <w:p>
      <w:pPr>
        <w:pStyle w:val="Normal"/>
        <w:rPr/>
      </w:pPr>
      <w:r>
        <w:rPr/>
        <w:t>Management:</w:t>
        <w:tab/>
        <w:tab/>
        <w:t>Select your counterparties before you trade</w:t>
      </w:r>
    </w:p>
    <w:p>
      <w:pPr>
        <w:pStyle w:val="Normal"/>
        <w:ind w:firstLine="720" w:start="1440" w:end="0"/>
        <w:rPr/>
      </w:pPr>
      <w:r>
        <w:rPr/>
        <w:t>Trades are limited with the buy and sell counterparties that you designate</w:t>
      </w:r>
    </w:p>
    <w:p>
      <w:pPr>
        <w:pStyle w:val="Normal"/>
        <w:ind w:firstLine="720" w:start="1440" w:end="0"/>
        <w:rPr/>
      </w:pPr>
      <w:r>
        <w:rPr/>
        <w:t>Counterparty identity is revealed as soon as trade occurs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rPr/>
      </w:pPr>
      <w:r>
        <w:rPr/>
        <w:t>Transmission/</w:t>
        <w:tab/>
        <w:t>Responsibility of both parties involved in the trade</w:t>
      </w:r>
    </w:p>
    <w:p>
      <w:pPr>
        <w:pStyle w:val="Normal"/>
        <w:ind w:hanging="1440" w:start="1440" w:end="0"/>
        <w:rPr/>
      </w:pPr>
      <w:r>
        <w:rPr/>
        <w:t>Tagging:</w:t>
        <w:tab/>
        <w:t>All trades will be one-to-one relationships (1 party per side), not one-to-many or many-to-many.  The reason for only allowing one-to-one trades is to simplify the OASIS reservation and tagging process for the parties involved.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Settlement:</w:t>
        <w:tab/>
        <w:t>APX will provide each participant with a daily summary of all trades for invoicing purposes.</w:t>
      </w:r>
    </w:p>
    <w:p>
      <w:pPr>
        <w:pStyle w:val="Normal"/>
        <w:rPr/>
      </w:pPr>
      <w:r>
        <w:rPr/>
        <w:tab/>
        <w:tab/>
        <w:t>It is the responsibility of both parties to handle invoicing and payment.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Governing</w:t>
        <w:tab/>
        <w:t>WSPP Agreement</w:t>
      </w:r>
    </w:p>
    <w:p>
      <w:pPr>
        <w:pStyle w:val="Normal"/>
        <w:rPr/>
      </w:pPr>
      <w:r>
        <w:rPr/>
        <w:t>Agreement:</w:t>
        <w:tab/>
        <w:t>All participants must execute the APX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APX Fee:</w:t>
        <w:tab/>
        <w:t>Daily Trades</w:t>
        <w:tab/>
        <w:t>$0.03/MWh per side</w:t>
      </w:r>
    </w:p>
    <w:p>
      <w:pPr>
        <w:pStyle w:val="Normal"/>
        <w:ind w:firstLine="720" w:start="720" w:end="0"/>
        <w:rPr/>
      </w:pPr>
      <w:r>
        <w:rPr/>
        <w:t xml:space="preserve">Hourly Trades: </w:t>
        <w:tab/>
        <w:t>$0.10/MWh per side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Training:</w:t>
        <w:tab/>
        <w:t>At your facility or at APX’s office in Santa Clara, CA.  Training can also be done using Webex.</w:t>
      </w:r>
    </w:p>
    <w:p>
      <w:pPr>
        <w:pStyle w:val="Normal"/>
        <w:rPr/>
      </w:pPr>
      <w:r>
        <w:rPr/>
        <w:tab/>
        <w:tab/>
        <w:t>There is no charge for training.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2001-05-11T19:41:00Z</dcterms:created>
  <dc:creator>jcrowe</dc:creator>
  <dc:description/>
  <dc:language>en-CA</dc:language>
  <cp:lastModifiedBy>cgallegos</cp:lastModifiedBy>
  <dcterms:modified xsi:type="dcterms:W3CDTF">2001-05-11T19:41:00Z</dcterms:modified>
  <cp:revision>2</cp:revision>
  <dc:subject/>
  <dc:title> APX</dc:title>
</cp:coreProperties>
</file>