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fxRecipient"/>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2260600</wp:posOffset>
                </wp:positionH>
                <wp:positionV relativeFrom="paragraph">
                  <wp:posOffset>-116840</wp:posOffset>
                </wp:positionV>
                <wp:extent cx="3983355" cy="782955"/>
                <wp:effectExtent l="0" t="0" r="0" b="0"/>
                <wp:wrapNone/>
                <wp:docPr id="2" name="Frame1"/>
                <a:graphic xmlns:a="http://schemas.openxmlformats.org/drawingml/2006/main">
                  <a:graphicData uri="http://schemas.microsoft.com/office/word/2010/wordprocessingShape">
                    <wps:wsp>
                      <wps:cNvSpPr txBox="1"/>
                      <wps:spPr>
                        <a:xfrm>
                          <a:off x="0" y="0"/>
                          <a:ext cx="3983355" cy="782955"/>
                        </a:xfrm>
                        <a:prstGeom prst="rect"/>
                        <a:solidFill>
                          <a:srgbClr val="FFFFFF">
                            <a:alpha val="0"/>
                          </a:srgbClr>
                        </a:solidFill>
                        <a:ln w="25400">
                          <a:solidFill>
                            <a:srgbClr val="FFFFFF"/>
                          </a:solidFill>
                        </a:ln>
                      </wps:spPr>
                      <wps:txbx>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13.65pt;height:61.65pt;mso-wrap-distance-left:9.05pt;mso-wrap-distance-right:9.05pt;mso-wrap-distance-top:0pt;mso-wrap-distance-bottom:0pt;margin-top:-9.2pt;mso-position-vertical-relative:text;margin-left:178pt;mso-position-horizontal-relative:text">
                <v:fill opacity="0f"/>
                <v:textbox inset="0.0138888888888889in,0.0138888888888889in,0.0138888888888889in,0.0138888888888889in">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pPr>
      <w:r>
        <w:rPr/>
      </w:r>
    </w:p>
    <w:p>
      <w:pPr>
        <w:pStyle w:val="Normal"/>
        <w:tabs>
          <w:tab w:val="clear" w:pos="720"/>
          <w:tab w:val="right" w:pos="9900" w:leader="none"/>
        </w:tabs>
        <w:jc w:val="center"/>
        <w:rPr>
          <w:rFonts w:ascii="Antique Olive" w:hAnsi="Antique Olive" w:cs="Antique Olive"/>
          <w:b/>
          <w:sz w:val="44"/>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-207010</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16.3pt" to="496.8pt,-16.3pt" stroked="t" o:allowincell="f" style="position:absolute">
                <v:stroke color="black" weight="25560" joinstyle="miter" endcap="flat"/>
                <v:fill o:detectmouseclick="t" on="false"/>
                <w10:wrap type="none"/>
              </v:line>
            </w:pict>
          </mc:Fallback>
        </mc:AlternateContent>
      </w:r>
      <w:r>
        <w:rPr>
          <w:rFonts w:cs="Arial" w:ascii="Arial" w:hAnsi="Arial"/>
          <w:b/>
          <w:sz w:val="72"/>
        </w:rPr>
        <w:t>P</w:t>
      </w:r>
      <w:r>
        <w:rPr>
          <w:rFonts w:cs="Arial" w:ascii="Arial" w:hAnsi="Arial"/>
          <w:b/>
          <w:sz w:val="44"/>
        </w:rPr>
        <w:t>ALO</w:t>
      </w:r>
      <w:r>
        <w:rPr>
          <w:rFonts w:cs="Arial" w:ascii="Arial" w:hAnsi="Arial"/>
          <w:b/>
          <w:sz w:val="40"/>
        </w:rPr>
        <w:t xml:space="preserve"> </w:t>
      </w:r>
      <w:r>
        <w:rPr>
          <w:rFonts w:cs="Arial" w:ascii="Arial" w:hAnsi="Arial"/>
          <w:b/>
          <w:sz w:val="72"/>
        </w:rPr>
        <w:t>V</w:t>
      </w:r>
      <w:r>
        <w:rPr>
          <w:rFonts w:cs="Arial" w:ascii="Arial" w:hAnsi="Arial"/>
          <w:b/>
          <w:sz w:val="44"/>
        </w:rPr>
        <w:t xml:space="preserve">ERDE </w:t>
      </w:r>
      <w:r>
        <w:rPr>
          <w:rFonts w:cs="Arial" w:ascii="Arial" w:hAnsi="Arial"/>
          <w:b/>
          <w:sz w:val="72"/>
        </w:rPr>
        <w:t>H</w:t>
      </w:r>
      <w:r>
        <w:rPr>
          <w:rFonts w:cs="Arial" w:ascii="Arial" w:hAnsi="Arial"/>
          <w:b/>
          <w:sz w:val="44"/>
        </w:rPr>
        <w:t xml:space="preserve">ourly </w:t>
      </w:r>
      <w:r>
        <w:rPr>
          <w:rFonts w:cs="Arial" w:ascii="Arial" w:hAnsi="Arial"/>
          <w:b/>
          <w:sz w:val="72"/>
        </w:rPr>
        <w:t>I</w:t>
      </w:r>
      <w:r>
        <w:rPr>
          <w:rFonts w:cs="Arial" w:ascii="Arial" w:hAnsi="Arial"/>
          <w:b/>
          <w:sz w:val="44"/>
        </w:rPr>
        <w:t>ndexes</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pPr>
      <w:r>
        <w:rPr>
          <w:rFonts w:cs="Arial" w:ascii="Arial" w:hAnsi="Arial"/>
          <w:sz w:val="22"/>
        </w:rPr>
        <w:t xml:space="preserve">The Dow Jones Palo Verde Electricity Price Indexes are volume weighted averages of specifically-defined real time bilateral, wholesale, physical transactions quoted in either dollars per megawatthour ($/MWH) or dollars per megawatt ($/MW). Calculations for these indexes average together power transactions at Palo Verde in Arizona.  Please note that Westwing transactions </w:t>
      </w:r>
      <w:r>
        <w:rPr>
          <w:rFonts w:cs="Arial" w:ascii="Arial" w:hAnsi="Arial"/>
          <w:b/>
          <w:sz w:val="22"/>
        </w:rPr>
        <w:t>are not</w:t>
      </w:r>
      <w:r>
        <w:rPr>
          <w:rFonts w:cs="Arial" w:ascii="Arial" w:hAnsi="Arial"/>
          <w:sz w:val="22"/>
        </w:rPr>
        <w:t xml:space="preserve"> included.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are requested to provide Dow Jones with their hourly index data for eligible electricity products sold at Palo Verde.  Prices should be submitted on an hour by hour basis with transactions itemized.  Although Dow Jones will calculate an index for each hour, participants are encouraged to submit their transactions for each 6 hour period no later than the schedule listed below.  Numbers submitted after the times listed in the reported to Dow Jones column below, may risk not being used to calculate the index.</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188845" cy="2558415"/>
                <wp:effectExtent l="0" t="0" r="0" b="0"/>
                <wp:wrapNone/>
                <wp:docPr id="4" name="Frame2"/>
                <a:graphic xmlns:a="http://schemas.openxmlformats.org/drawingml/2006/main">
                  <a:graphicData uri="http://schemas.microsoft.com/office/word/2010/wordprocessingShape">
                    <wps:wsp>
                      <wps:cNvSpPr txBox="1"/>
                      <wps:spPr>
                        <a:xfrm>
                          <a:off x="0" y="0"/>
                          <a:ext cx="2188845" cy="255841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73.2pt;height:201.2pt" filled="f" o:ole="">
                                  <v:imagedata r:id="rId4" o:title=""/>
                                </v:shape>
                                <o:OLEObject Type="Embed" ProgID="" ShapeID="ole_rId3" DrawAspect="Content" ObjectID="_1405624541" r:id="rId3"/>
                              </w:object>
                            </w:r>
                          </w:p>
                        </w:txbxContent>
                      </wps:txbx>
                      <wps:bodyPr anchor="t" lIns="13335" tIns="13335" rIns="13335" bIns="13335">
                        <a:noAutofit/>
                      </wps:bodyPr>
                    </wps:wsp>
                  </a:graphicData>
                </a:graphic>
              </wp:anchor>
            </w:drawing>
          </mc:Choice>
          <mc:Fallback>
            <w:pict>
              <v:rect fillcolor="#FFFFFF" style="position:absolute;rotation:-0;width:172.35pt;height:201.4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73.2pt;height:201.2pt" filled="f" o:ole="">
                            <v:imagedata r:id="rId6" o:title=""/>
                          </v:shape>
                          <o:OLEObject Type="Embed" ProgID="" ShapeID="ole_rId5" DrawAspect="Content" ObjectID="_576401146" r:id="rId5"/>
                        </w:object>
                      </w:r>
                    </w:p>
                  </w:txbxContent>
                </v:textbox>
                <w10:wrap type="none"/>
              </v:rect>
            </w:pict>
          </mc:Fallback>
        </mc:AlternateContent>
      </w:r>
    </w:p>
    <w:p>
      <w:pPr>
        <w:pStyle w:val="Normal"/>
        <w:jc w:val="both"/>
        <w:rPr>
          <w:rFonts w:ascii="Arial" w:hAnsi="Arial" w:cs="Arial"/>
          <w:sz w:val="22"/>
        </w:rPr>
      </w:pPr>
      <w:r>
        <w:rPr>
          <w:rFonts w:cs="Arial" w:ascii="Arial" w:hAnsi="Arial"/>
          <w:sz w:val="22"/>
        </w:rPr>
      </w:r>
    </w:p>
    <w:p>
      <w:pPr>
        <w:pStyle w:val="Heading2"/>
        <w:ind w:hanging="0" w:start="0"/>
        <w:rPr/>
      </w:pPr>
      <w:r>
        <w:rPr/>
        <w:t>Trades for hours</w:t>
      </w:r>
      <w:r>
        <w:rPr>
          <w:u w:val="none"/>
        </w:rPr>
        <w:tab/>
        <w:tab/>
        <w:tab/>
      </w:r>
      <w:r>
        <w:rPr/>
        <w:t>Reported to DJ by</w:t>
      </w:r>
    </w:p>
    <w:p>
      <w:pPr>
        <w:pStyle w:val="Normal"/>
        <w:jc w:val="both"/>
        <w:rPr>
          <w:rFonts w:ascii="Arial" w:hAnsi="Arial" w:cs="Arial"/>
          <w:sz w:val="22"/>
        </w:rPr>
      </w:pPr>
      <w:r>
        <w:rPr>
          <w:rFonts w:cs="Arial" w:ascii="Arial" w:hAnsi="Arial"/>
          <w:sz w:val="22"/>
        </w:rPr>
        <w:t xml:space="preserve">12:01 a.m. to 06:00 a.m. </w:t>
        <w:tab/>
        <w:tab/>
        <w:t xml:space="preserve">        07:00 a.m.</w:t>
      </w:r>
    </w:p>
    <w:p>
      <w:pPr>
        <w:pStyle w:val="Normal"/>
        <w:jc w:val="both"/>
        <w:rPr>
          <w:rFonts w:ascii="Arial" w:hAnsi="Arial" w:cs="Arial"/>
          <w:sz w:val="22"/>
        </w:rPr>
      </w:pPr>
      <w:r>
        <w:rPr>
          <w:rFonts w:cs="Arial" w:ascii="Arial" w:hAnsi="Arial"/>
          <w:sz w:val="22"/>
        </w:rPr>
        <w:t>06:01 a.m. to 12:00 noon.</w:t>
        <w:tab/>
        <w:tab/>
        <w:t xml:space="preserve">        01:00 p.m.</w:t>
      </w:r>
    </w:p>
    <w:p>
      <w:pPr>
        <w:pStyle w:val="Normal"/>
        <w:jc w:val="both"/>
        <w:rPr>
          <w:rFonts w:ascii="Arial" w:hAnsi="Arial" w:cs="Arial"/>
          <w:sz w:val="22"/>
        </w:rPr>
      </w:pPr>
      <w:r>
        <w:rPr>
          <w:rFonts w:cs="Arial" w:ascii="Arial" w:hAnsi="Arial"/>
          <w:sz w:val="22"/>
        </w:rPr>
        <w:t>12:01 p.m. to 06:00 p.m.</w:t>
        <w:tab/>
        <w:tab/>
        <w:t xml:space="preserve">        07:00 p.m.</w:t>
      </w:r>
    </w:p>
    <w:p>
      <w:pPr>
        <w:pStyle w:val="Normal"/>
        <w:jc w:val="both"/>
        <w:rPr>
          <w:rFonts w:ascii="Arial" w:hAnsi="Arial" w:cs="Arial"/>
          <w:sz w:val="22"/>
        </w:rPr>
      </w:pPr>
      <w:r>
        <w:rPr>
          <w:rFonts w:cs="Arial" w:ascii="Arial" w:hAnsi="Arial"/>
          <w:sz w:val="22"/>
        </w:rPr>
        <w:t xml:space="preserve">06:01 p.m. to 12:00 midnight                     01:00 a.m. </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t>Participants should also include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This information is for firm and non-firm hourly trades at Palo Verde.  A volume weighted average price for each hour will be calculated by Dow Jones throughout the day with the final numbers being sent out to the subscribers by 5:00 a.m. PST covering the prior 12:01 a.m. to 12 midnight.   Although some Dow Jones Electricity Indexes are calculated for 365 days year, publication occurs only on business days. This may change should there be a demand for weekend publication.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4"/>
        </w:rPr>
      </w:pPr>
      <w:r>
        <w:rPr>
          <w:rFonts w:cs="Arial" w:ascii="Arial" w:hAnsi="Arial"/>
          <w:sz w:val="24"/>
        </w:rPr>
      </w:r>
    </w:p>
    <w:tbl>
      <w:tblPr>
        <w:tblW w:w="9828" w:type="dxa"/>
        <w:jc w:val="start"/>
        <w:tblInd w:w="0" w:type="dxa"/>
        <w:tblLayout w:type="fixed"/>
        <w:tblCellMar>
          <w:top w:w="0" w:type="dxa"/>
          <w:start w:w="108" w:type="dxa"/>
          <w:bottom w:w="0" w:type="dxa"/>
          <w:end w:w="108" w:type="dxa"/>
        </w:tblCellMar>
      </w:tblPr>
      <w:tblGrid>
        <w:gridCol w:w="3078"/>
        <w:gridCol w:w="3420"/>
        <w:gridCol w:w="333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4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333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32"/>
        </w:rPr>
      </w:pPr>
      <w:r>
        <w:rPr>
          <w:rFonts w:cs="Antique Olive" w:ascii="Antique Olive" w:hAnsi="Antique Olive"/>
          <w:sz w:val="32"/>
        </w:rPr>
      </w:r>
    </w:p>
    <w:tbl>
      <w:tblPr>
        <w:tblW w:w="9828" w:type="dxa"/>
        <w:jc w:val="start"/>
        <w:tblInd w:w="0" w:type="dxa"/>
        <w:tblLayout w:type="fixed"/>
        <w:tblCellMar>
          <w:top w:w="0" w:type="dxa"/>
          <w:start w:w="108" w:type="dxa"/>
          <w:bottom w:w="0" w:type="dxa"/>
          <w:end w:w="108" w:type="dxa"/>
        </w:tblCellMar>
      </w:tblPr>
      <w:tblGrid>
        <w:gridCol w:w="1458"/>
        <w:gridCol w:w="1710"/>
        <w:gridCol w:w="1620"/>
        <w:gridCol w:w="1413"/>
        <w:gridCol w:w="2277"/>
        <w:gridCol w:w="1350"/>
      </w:tblGrid>
      <w:tr>
        <w:trPr/>
        <w:tc>
          <w:tcPr>
            <w:tcW w:w="145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71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DAILY </w:t>
            </w:r>
          </w:p>
        </w:tc>
        <w:tc>
          <w:tcPr>
            <w:tcW w:w="1620"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413"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27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tc>
        <w:tc>
          <w:tcPr>
            <w:tcW w:w="1350"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r>
      <w:tr>
        <w:trPr/>
        <w:tc>
          <w:tcPr>
            <w:tcW w:w="4788"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5040"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788"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Firm Hourly </w:t>
            </w:r>
          </w:p>
        </w:tc>
        <w:tc>
          <w:tcPr>
            <w:tcW w:w="5040" w:type="dxa"/>
            <w:gridSpan w:val="3"/>
            <w:tcBorders/>
          </w:tcPr>
          <w:p>
            <w:pPr>
              <w:pStyle w:val="Heading1"/>
              <w:ind w:hanging="0" w:start="0"/>
              <w:rPr/>
            </w:pPr>
            <w:r>
              <w:rPr/>
              <w:t>Non-Firm Hourly</w:t>
            </w:r>
          </w:p>
        </w:tc>
      </w:tr>
      <w:tr>
        <w:trPr/>
        <w:tc>
          <w:tcPr>
            <w:tcW w:w="4788"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5040" w:type="dxa"/>
            <w:gridSpan w:val="3"/>
            <w:tcBorders/>
          </w:tcPr>
          <w:p>
            <w:pPr>
              <w:pStyle w:val="Normal"/>
              <w:tabs>
                <w:tab w:val="clear" w:pos="720"/>
                <w:tab w:val="right" w:pos="9900" w:leader="none"/>
              </w:tabs>
              <w:jc w:val="center"/>
              <w:rPr>
                <w:rFonts w:ascii="Arial" w:hAnsi="Arial" w:eastAsia="Arial" w:cs="Arial"/>
                <w:b/>
                <w:sz w:val="24"/>
              </w:rPr>
            </w:pPr>
            <w:r>
              <w:rPr>
                <w:rFonts w:eastAsia="Arial" w:cs="Arial" w:ascii="Arial" w:hAnsi="Arial"/>
                <w:b/>
                <w:sz w:val="24"/>
              </w:rPr>
              <w:t xml:space="preserve"> </w:t>
            </w:r>
          </w:p>
        </w:tc>
      </w:tr>
      <w:tr>
        <w:trPr/>
        <w:tc>
          <w:tcPr>
            <w:tcW w:w="4788" w:type="dxa"/>
            <w:gridSpan w:val="3"/>
            <w:tcBorders/>
          </w:tcPr>
          <w:p>
            <w:pPr>
              <w:pStyle w:val="Heading1"/>
              <w:snapToGrid w:val="false"/>
              <w:ind w:hanging="0" w:start="0"/>
              <w:rPr>
                <w:rFonts w:ascii="Antique Olive" w:hAnsi="Antique Olive" w:cs="Antique Olive"/>
                <w:b/>
                <w:sz w:val="32"/>
              </w:rPr>
            </w:pPr>
            <w:r>
              <w:rPr>
                <w:rFonts w:cs="Antique Olive" w:ascii="Antique Olive" w:hAnsi="Antique Olive"/>
                <w:b/>
                <w:sz w:val="32"/>
              </w:rPr>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788" w:type="dxa"/>
            <w:gridSpan w:val="3"/>
            <w:tcBorders/>
          </w:tcPr>
          <w:p>
            <w:pPr>
              <w:pStyle w:val="Heading1"/>
              <w:snapToGrid w:val="false"/>
              <w:ind w:hanging="0" w:start="0"/>
              <w:rPr>
                <w:rFonts w:ascii="Antique Olive" w:hAnsi="Antique Olive" w:cs="Antique Olive"/>
                <w:sz w:val="32"/>
              </w:rPr>
            </w:pPr>
            <w:r>
              <w:rPr>
                <w:rFonts w:cs="Antique Olive" w:ascii="Antique Olive" w:hAnsi="Antique Olive"/>
                <w:sz w:val="32"/>
              </w:rPr>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rPr>
          <w:rFonts w:ascii="Arial" w:hAnsi="Arial" w:cs="Arial"/>
          <w:b/>
          <w:sz w:val="22"/>
        </w:rPr>
      </w:pPr>
      <w:r>
        <w:rPr>
          <w:rFonts w:cs="Arial" w:ascii="Arial" w:hAnsi="Arial"/>
          <w:b/>
          <w:sz w:val="22"/>
        </w:rPr>
      </w:r>
    </w:p>
    <w:p>
      <w:pPr>
        <w:pStyle w:val="Normal"/>
        <w:jc w:val="both"/>
        <w:rPr>
          <w:rFonts w:ascii="Arial" w:hAnsi="Arial" w:cs="Arial"/>
          <w:b/>
          <w:sz w:val="24"/>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rPr>
          <w:rFonts w:ascii="Arial" w:hAnsi="Arial" w:cs="Arial"/>
          <w:b/>
          <w:sz w:val="24"/>
        </w:rPr>
      </w:pPr>
      <w:r>
        <w:rPr>
          <w:rFonts w:cs="Arial" w:ascii="Arial" w:hAnsi="Arial"/>
          <w:b/>
          <w:sz w:val="24"/>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Hourly Index:</w:t>
      </w:r>
      <w:r>
        <w:rPr>
          <w:rFonts w:cs="Arial" w:ascii="Arial" w:hAnsi="Arial"/>
          <w:sz w:val="22"/>
        </w:rPr>
        <w:t xml:space="preserve"> </w:t>
      </w:r>
      <w:r>
        <w:rPr>
          <w:rFonts w:cs="Arial" w:ascii="Arial" w:hAnsi="Arial"/>
          <w:sz w:val="22"/>
          <w:u w:val="single"/>
        </w:rPr>
        <w:t>The firm hourly index average together power</w:t>
      </w:r>
      <w:r>
        <w:rPr>
          <w:rFonts w:cs="Arial" w:ascii="Arial" w:hAnsi="Arial"/>
          <w:sz w:val="22"/>
        </w:rPr>
        <w:t xml:space="preserve"> sold on a firm hourly basis. </w:t>
      </w:r>
      <w:r>
        <w:rPr>
          <w:rFonts w:cs="Arial" w:ascii="Arial" w:hAnsi="Arial"/>
          <w:sz w:val="22"/>
          <w:u w:val="single"/>
        </w:rPr>
        <w:t>No pre-scheduled power is included in these indexes</w:t>
      </w:r>
      <w:r>
        <w:rPr>
          <w:rFonts w:cs="Arial" w:ascii="Arial" w:hAnsi="Arial"/>
          <w:sz w:val="22"/>
        </w:rPr>
        <w:t xml:space="preserve">. </w:t>
      </w:r>
    </w:p>
    <w:p>
      <w:pPr>
        <w:pStyle w:val="Normal"/>
        <w:tabs>
          <w:tab w:val="clear" w:pos="720"/>
          <w:tab w:val="right" w:pos="9900" w:leader="none"/>
        </w:tabs>
        <w:jc w:val="both"/>
        <w:rPr>
          <w:rFonts w:ascii="Antique Olive" w:hAnsi="Antique Olive" w:cs="Antique Olive"/>
          <w:b/>
          <w:sz w:val="22"/>
        </w:rPr>
      </w:pPr>
      <w:r>
        <w:rPr>
          <w:rFonts w:cs="Antique Olive" w:ascii="Antique Olive" w:hAnsi="Antique Olive"/>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Hourly Index</w:t>
      </w:r>
      <w:r>
        <w:rPr>
          <w:rFonts w:cs="Antique Olive" w:ascii="Antique Olive" w:hAnsi="Antique Olive"/>
          <w:b/>
          <w:sz w:val="22"/>
        </w:rPr>
        <w:t xml:space="preserve">: </w:t>
      </w:r>
      <w:r>
        <w:rPr>
          <w:rFonts w:cs="Arial" w:ascii="Arial" w:hAnsi="Arial"/>
          <w:sz w:val="22"/>
          <w:u w:val="single"/>
        </w:rPr>
        <w:t>The non-firm hourly index averages together power</w:t>
      </w:r>
      <w:r>
        <w:rPr>
          <w:rFonts w:cs="Arial" w:ascii="Arial" w:hAnsi="Arial"/>
          <w:sz w:val="22"/>
        </w:rPr>
        <w:t xml:space="preserve"> sold on a non-firm hourly basis. </w:t>
      </w:r>
      <w:r>
        <w:rPr>
          <w:rFonts w:cs="Arial" w:ascii="Arial" w:hAnsi="Arial"/>
          <w:sz w:val="22"/>
          <w:u w:val="single"/>
        </w:rPr>
        <w:t>No pre-scheduled power is included in these indexes</w:t>
      </w:r>
      <w:r>
        <w:rPr>
          <w:rFonts w:cs="Arial" w:ascii="Arial" w:hAnsi="Arial"/>
          <w:sz w:val="22"/>
        </w:rPr>
        <w:t xml:space="preserve">. </w:t>
      </w:r>
      <w:r>
        <w:rPr>
          <w:rFonts w:cs="Antique Olive" w:ascii="Antique Olive" w:hAnsi="Antique Olive"/>
          <w:b/>
          <w:sz w:val="22"/>
        </w:rPr>
        <w:t xml:space="preserve"> </w:t>
      </w:r>
      <w:r>
        <w:rPr>
          <w:rFonts w:cs="Arial" w:ascii="Arial" w:hAnsi="Arial"/>
          <w:sz w:val="22"/>
        </w:rPr>
        <w:t xml:space="preserve"> Volumes reported reflect the total number of MWh transacted on a per hour basis..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prevailing time at Palo Verde, seven (7) days a week </w:t>
      </w:r>
      <w:r>
        <w:rPr>
          <w:rFonts w:cs="Arial" w:ascii="Arial" w:hAnsi="Arial"/>
          <w:sz w:val="22"/>
          <w:u w:val="single"/>
        </w:rPr>
        <w:t>including</w:t>
      </w:r>
      <w:r>
        <w:rPr>
          <w:rFonts w:cs="Arial" w:ascii="Arial" w:hAnsi="Arial"/>
          <w:sz w:val="22"/>
        </w:rPr>
        <w:t xml:space="preserve"> NERC holidays.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2300-0600 (10 p.m. - 6 a.m.) prevailing time at Palo Verde, seven (7) days a week. </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Since Arizona does not observe Daylight Savings Time, time-related definitions are based on Palo Verde prevailing time.</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pPr>
      <w:r>
        <w:rPr/>
      </w:r>
    </w:p>
    <w:p>
      <w:pPr>
        <w:pStyle w:val="Normal"/>
        <w:tabs>
          <w:tab w:val="clear" w:pos="720"/>
          <w:tab w:val="right" w:pos="9900" w:leader="none"/>
        </w:tabs>
        <w:rPr/>
      </w:pPr>
      <w:r>
        <w:rPr/>
      </w:r>
    </w:p>
    <w:tbl>
      <w:tblPr>
        <w:tblW w:w="9577" w:type="dxa"/>
        <w:jc w:val="start"/>
        <w:tblInd w:w="0" w:type="dxa"/>
        <w:tblLayout w:type="fixed"/>
        <w:tblCellMar>
          <w:top w:w="0" w:type="dxa"/>
          <w:start w:w="108" w:type="dxa"/>
          <w:bottom w:w="0" w:type="dxa"/>
          <w:end w:w="108" w:type="dxa"/>
        </w:tblCellMar>
      </w:tblPr>
      <w:tblGrid>
        <w:gridCol w:w="3528"/>
        <w:gridCol w:w="2520"/>
        <w:gridCol w:w="3529"/>
      </w:tblGrid>
      <w:tr>
        <w:trPr/>
        <w:tc>
          <w:tcPr>
            <w:tcW w:w="3528"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c>
          <w:tcPr>
            <w:tcW w:w="25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DATES</w:t>
            </w:r>
          </w:p>
        </w:tc>
        <w:tc>
          <w:tcPr>
            <w:tcW w:w="3529"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52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29"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pPr>
      <w:r>
        <w:rPr>
          <w:rFonts w:cs="Arial" w:ascii="Arial" w:hAnsi="Arial"/>
          <w:b/>
          <w:sz w:val="22"/>
        </w:rPr>
        <w:t>Hourly Indexes:</w:t>
      </w:r>
      <w:r>
        <w:rPr>
          <w:rFonts w:cs="Arial" w:ascii="Arial" w:hAnsi="Arial"/>
          <w:sz w:val="22"/>
        </w:rPr>
        <w:t xml:space="preserve"> INDEX DATE = POWER DELIVERY DATE</w:t>
      </w:r>
    </w:p>
    <w:p>
      <w:pPr>
        <w:pStyle w:val="Normal"/>
        <w:ind w:firstLine="360" w:end="0"/>
        <w:jc w:val="both"/>
        <w:rPr>
          <w:rFonts w:ascii="Arial" w:hAnsi="Arial" w:cs="Arial"/>
          <w:sz w:val="22"/>
        </w:rPr>
      </w:pPr>
      <w:r>
        <w:rPr>
          <w:rFonts w:cs="Arial" w:ascii="Arial" w:hAnsi="Arial"/>
          <w:sz w:val="22"/>
        </w:rPr>
        <w:t xml:space="preserve">The date on the hourly index corresponds to the date the power is delivered. For example,  hourly power transacted for delivery from 12.01 a.m to 12:00 p.m. Monday will be reported by 5:00 a.m PT on Tuesday. </w:t>
      </w:r>
    </w:p>
    <w:p>
      <w:pPr>
        <w:pStyle w:val="Normal"/>
        <w:ind w:firstLine="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Palo Verde Hourly Index will be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at (609) 520-4663. </w:t>
      </w:r>
    </w:p>
    <w:p>
      <w:pPr>
        <w:pStyle w:val="Normal"/>
        <w:jc w:val="both"/>
        <w:rPr>
          <w:rFonts w:ascii="Arial" w:hAnsi="Arial" w:cs="Arial"/>
          <w:b/>
          <w:i/>
          <w:i/>
        </w:rPr>
      </w:pP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7"/>
      <w:type w:val="nextPage"/>
      <w:pgSz w:w="12240" w:h="15840"/>
      <w:pgMar w:left="1296" w:right="1296" w:gutter="0" w:header="0" w:top="72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ind w:hanging="45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/mnt/main-storage/datasets/enron-docs/doc/PaloVerdeHourly_def-fa361f99206fda66c49a3abeaaf453b1b434a887f9db96a2fd16cb43b23bcb2b.doc</w:t>
    </w:r>
    <w:r>
      <w:rPr>
        <w:sz w:val="18"/>
        <w:rFonts w:cs="Arial" w:ascii="Arial" w:hAnsi="Arial"/>
      </w:rPr>
      <w:fldChar w:fldCharType="end"/>
    </w:r>
    <w:r>
      <w:rPr>
        <w:rFonts w:cs="Arial" w:ascii="Arial" w:hAnsi="Arial"/>
        <w:sz w:val="18"/>
      </w:rPr>
      <w:tab/>
      <w:t xml:space="preserve">                                                                     </w:t>
    </w:r>
    <w:r>
      <w:rPr>
        <w:rFonts w:cs="Arial" w:ascii="Arial" w:hAnsi="Arial"/>
        <w:b/>
        <w:sz w:val="22"/>
      </w:rPr>
      <w:t>Revised 07/20/1999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right" w:pos="9900" w:leader="none"/>
      </w:tabs>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2001-09-19T13:00:00Z</dcterms:created>
  <dc:creator>Günther Pergher</dc:creator>
  <dc:description/>
  <dc:language>en-CA</dc:language>
  <cp:lastModifiedBy>OnukoguE</cp:lastModifiedBy>
  <cp:lastPrinted>2001-09-25T17:12:00Z</cp:lastPrinted>
  <dcterms:modified xsi:type="dcterms:W3CDTF">2001-10-10T18:54:00Z</dcterms:modified>
  <cp:revision>19</cp:revision>
  <dc:subject>Index Description</dc:subject>
  <dc:title>The Dow Jones PV Electricity Price Indexes</dc:title>
</cp:coreProperties>
</file>