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 less any quanitites (“Third Party Quantities”) of Gas purchased by Customer and delivered under a Third Party Contract, as such term is defined in that certain Management Services Agreement between Company and Customer of even date herewith (the “MSA”).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30,000 MMBtu per Day, less any Third Party Quantities.  The first 6,197 MMBtu delivered by Company hereunder shall hereinafter be referred as “Tier I’ quantities and all quantities in excess of 6,197 MMBtu per Day up to 30,000 MMBtu per Day shall be hereinafter referred to as “Tier II” quantities.</w:t>
      </w:r>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r>
      <w:r>
        <w:rPr>
          <w:rFonts w:cs="Arial Narrow" w:ascii="Arial Narrow" w:hAnsi="Arial Narrow"/>
          <w:sz w:val="19"/>
          <w:u w:val="single"/>
        </w:rPr>
        <w:t>6,197 MMBtu per Day less any Third Party Quantities</w:t>
      </w:r>
      <w:r>
        <w:rPr>
          <w:rFonts w:cs="Arial Narrow" w:ascii="Arial Narrow" w:hAnsi="Arial Narrow"/>
          <w:sz w:val="19"/>
        </w:rPr>
        <w:t xml:space="preserve"> for Malin (hereafter defined) and </w:t>
      </w:r>
      <w:r>
        <w:rPr>
          <w:rFonts w:cs="Arial Narrow" w:ascii="Arial Narrow" w:hAnsi="Arial Narrow"/>
          <w:sz w:val="19"/>
          <w:u w:val="single"/>
        </w:rPr>
        <w:t>30,000 MMBtu per Day less any Third Party Quanitites less the Maximum Daily Deliver Point Quantity at Malin</w:t>
      </w:r>
      <w:r>
        <w:rPr>
          <w:rFonts w:cs="Arial Narrow" w:ascii="Arial Narrow" w:hAnsi="Arial Narrow"/>
          <w:sz w:val="19"/>
        </w:rPr>
        <w:t xml:space="preserve"> for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Tier I quantities the Contract Price shall be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and for Tier II quanitities the Contract Price shall be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w:t>
      </w:r>
    </w:p>
    <w:p>
      <w:pPr>
        <w:pStyle w:val="Normal"/>
        <w:tabs>
          <w:tab w:val="clear" w:pos="720"/>
          <w:tab w:val="left" w:pos="8640" w:leader="none"/>
        </w:tabs>
        <w:ind w:hanging="4680" w:start="4680" w:end="0"/>
        <w:jc w:val="both"/>
        <w:rPr/>
      </w:pPr>
      <w:r>
        <w:rPr>
          <w:rFonts w:cs="Arial Narrow" w:ascii="Arial Narrow" w:hAnsi="Arial Narrow"/>
          <w:sz w:val="19"/>
        </w:rPr>
        <w:t>THIRD PARTY FAILURE TO DELIVER:</w:t>
        <w:tab/>
        <w:t>In the event that any quantities of Gas delivered hereunder are replacing Third Party Quanitities that a third party supplier has failed to deliver under a Third Party Contract (the “Replacement Gas”) the Contract Price hereunder for the Replacement Gas shall be equal to</w:t>
      </w:r>
      <w:r>
        <w:rPr>
          <w:rFonts w:cs="Arial Narrow" w:ascii="Arial Narrow" w:hAnsi="Arial Narrow"/>
          <w:color w:val="000000"/>
          <w:sz w:val="18"/>
        </w:rPr>
        <w:t xml:space="preserve"> </w:t>
      </w:r>
      <w:r>
        <w:rPr>
          <w:rFonts w:cs="Arial Narrow" w:ascii="Arial Narrow" w:hAnsi="Arial Narrow"/>
          <w:color w:val="000000"/>
          <w:sz w:val="19"/>
        </w:rPr>
        <w:t xml:space="preserve">the “Absolute 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r>
        <w:rPr>
          <w:rFonts w:cs="Arial Narrow" w:ascii="Arial Narrow" w:hAnsi="Arial Narrow"/>
          <w:sz w:val="19"/>
        </w:rPr>
        <w:t>.  The Contract Price hereunder is subject to the renegotiation provisions of Article 6 of the MSA.</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Section 5.2 of the MSA.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 xml:space="preserve">Customer may request that a portion of the DCQ be converted to a Fixed Price for all or a portion of the Period of Delivery (the “Fixed Priced Quantity” or “FPQ”).  Upon such request, Company will provide Customer an offer for a Fixed Price for the FPQ.  If the Customer and Company agree to the Fixed Price, the FPQ shall be 100% firm baseload Gas hereunder with no ability to swing by Customer.  A confirmation shall be sent to Customer confirming the Fixed Price agreement in accordance with Section 2.4 of the ENFOLIO Master Firm Purchase/Sale Agreement in effect between Company and Customer dated April 11, 2001.  </w:t>
      </w:r>
    </w:p>
    <w:p>
      <w:pPr>
        <w:pStyle w:val="BodyTextIndent3"/>
        <w:rPr/>
      </w:pPr>
      <w:r>
        <w:rPr/>
        <w:t>CONSOLIDATED BILLING:</w:t>
        <w:tab/>
        <w:t>All invoices hereunder shall be consolidated with all invoicing under the MSA in accordance with Section 4.1 of the MSA</w:t>
      </w:r>
    </w:p>
    <w:p>
      <w:pPr>
        <w:pStyle w:val="BodyTextIndent3"/>
        <w:rPr>
          <w:i/>
          <w:i/>
          <w:iCs/>
        </w:rPr>
      </w:pPr>
      <w:r>
        <w:rPr/>
        <w:t>TRIGGERING EVENT:</w:t>
        <w:tab/>
        <w:t>With respect to this Transaction Agreement, a Triggering Event under Section 4.1 of the ENFOLIO Master Firm Purchase/Sale Agreement in effect between Customer and Company dated April 11, 2001 shall also include an early termination event under Section 12.1 of the MSA, with the terminating party under the MSA being the Notifying Party hereunder.</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April 11,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/mnt/main-storage/datasets/enron-docs/doc/PaloAlto_TA3.doc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June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2001-05-24T17:34:00Z</dcterms:created>
  <dc:creator>dhyvl</dc:creator>
  <dc:description/>
  <dc:language>en-CA</dc:language>
  <cp:lastModifiedBy>gnemec</cp:lastModifiedBy>
  <cp:lastPrinted>2001-05-23T10:37:00Z</cp:lastPrinted>
  <dcterms:modified xsi:type="dcterms:W3CDTF">2001-05-24T19:41:00Z</dcterms:modified>
  <cp:revision>5</cp:revision>
  <dc:subject/>
  <dc:title>June 1,  2000</dc:title>
</cp:coreProperties>
</file>