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Mezzanine, Civic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w:t>
      </w:r>
      <w:r>
        <w:rPr>
          <w:rFonts w:cs="Arial Narrow" w:ascii="Arial Narrow" w:hAnsi="Arial Narrow"/>
          <w:b/>
          <w:bCs/>
          <w:sz w:val="19"/>
        </w:rPr>
        <w:t>Buyer</w:t>
      </w:r>
      <w:r>
        <w:rPr>
          <w:rFonts w:cs="Arial Narrow" w:ascii="Arial Narrow" w:hAnsi="Arial Narrow"/>
          <w:sz w:val="19"/>
        </w:rPr>
        <w:t>) and Company shall sell and deliver (</w:t>
      </w:r>
      <w:r>
        <w:rPr>
          <w:rFonts w:cs="Arial Narrow" w:ascii="Arial Narrow" w:hAnsi="Arial Narrow"/>
          <w:b/>
          <w:bCs/>
          <w:sz w:val="19"/>
        </w:rPr>
        <w:t>Seller</w:t>
      </w:r>
      <w:r>
        <w:rPr>
          <w:rFonts w:cs="Arial Narrow" w:ascii="Arial Narrow" w:hAnsi="Arial Narrow"/>
          <w:sz w:val="19"/>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del w:id="1" w:author="gnemec" w:date="2001-05-23T17:45:00Z"/>
        </w:rPr>
      </w:pPr>
      <w:r>
        <w:rPr/>
        <w:t>DAILY CONTRACT QUANTITY (DCQ):</w:t>
        <w:tab/>
        <w:t xml:space="preserve">The quantity of Gas required each Day for by Customer’s residential, commercial, and industrial commodity customers as measured at interconnection point of Pacific Gas &amp;Electric Company’s (“PG&amp;E”) local transmission system and Customer’s distribution </w:t>
      </w:r>
      <w:del w:id="0" w:author="gnemec" w:date="2001-05-23T17:45:00Z">
        <w:r>
          <w:rPr/>
          <w:delText>system.</w:delText>
        </w:r>
      </w:del>
    </w:p>
    <w:p>
      <w:pPr>
        <w:pStyle w:val="BodyTextIndent3"/>
        <w:widowControl/>
        <w:bidi w:val="0"/>
        <w:ind w:hanging="4680" w:start="4680" w:end="0"/>
        <w:jc w:val="both"/>
        <w:rPr>
          <w:rFonts w:ascii="Arial Narrow" w:hAnsi="Arial Narrow" w:cs="Arial Narrow"/>
          <w:sz w:val="19"/>
          <w:u w:val="single"/>
          <w:del w:id="4" w:author="gnemec" w:date="2001-05-23T17:45:00Z"/>
        </w:rPr>
      </w:pPr>
      <w:ins w:id="2" w:author="gnemec" w:date="2001-05-23T17:45:00Z">
        <w:r>
          <w:rPr/>
          <w:t xml:space="preserve">system, less any quanitites (“Third Party Quantities”) of Gas purchased by Customer and delivered under a Thirdy Party Contract, as </w:t>
        </w:r>
      </w:ins>
      <w:del w:id="3" w:author="gnemec" w:date="2001-05-23T17:45:00Z">
        <w:r>
          <w:rPr>
            <w:rFonts w:cs="Arial Narrow"/>
            <w:sz w:val="19"/>
          </w:rPr>
          <w:delText>MAXDQ (if applicable):</w:delText>
          <w:tab/>
          <w:delText>35,000 MMBtu per Day</w:delText>
        </w:r>
      </w:del>
    </w:p>
    <w:p>
      <w:pPr>
        <w:pStyle w:val="BodyTextIndent3"/>
        <w:rPr>
          <w:del w:id="6" w:author="gnemec" w:date="2001-05-23T17:45:00Z"/>
        </w:rPr>
      </w:pPr>
      <w:del w:id="5" w:author="gnemec" w:date="2001-05-23T17:45:00Z">
        <w:r>
          <w:rPr/>
          <w:delText>MINMQ (if applicable):</w:delText>
          <w:tab/>
          <w:delText>N/A</w:delText>
        </w:r>
      </w:del>
    </w:p>
    <w:p>
      <w:pPr>
        <w:pStyle w:val="BodyTextIndent3"/>
        <w:widowControl/>
        <w:bidi w:val="0"/>
        <w:ind w:hanging="4680" w:start="4680" w:end="0"/>
        <w:jc w:val="both"/>
        <w:rPr>
          <w:ins w:id="9" w:author="gnemec" w:date="2001-05-23T17:45:00Z"/>
        </w:rPr>
      </w:pPr>
      <w:del w:id="7" w:author="gnemec" w:date="2001-05-23T17:45:00Z">
        <w:r>
          <w:rPr/>
          <w:delText>MINDQ (if applicable):</w:delText>
          <w:tab/>
          <w:delText>N/A</w:delText>
        </w:r>
      </w:del>
      <w:ins w:id="8" w:author="gnemec" w:date="2001-05-23T17:45:00Z">
        <w:r>
          <w:rPr/>
          <w:t>such term is defined in that certain Management Services Agreement between Company and Customer of even date herewith (the “MSA”).</w:t>
        </w:r>
      </w:ins>
    </w:p>
    <w:p>
      <w:pPr>
        <w:pStyle w:val="Normal"/>
        <w:tabs>
          <w:tab w:val="clear" w:pos="720"/>
          <w:tab w:val="left" w:pos="8640" w:leader="none"/>
        </w:tabs>
        <w:ind w:hanging="4680" w:start="4680" w:end="0"/>
        <w:jc w:val="both"/>
        <w:rPr>
          <w:rFonts w:ascii="Arial Narrow" w:hAnsi="Arial Narrow" w:cs="Arial Narrow"/>
          <w:sz w:val="19"/>
          <w:u w:val="single"/>
        </w:rPr>
      </w:pPr>
      <w:ins w:id="10" w:author="gnemec" w:date="2001-05-23T17:45:00Z">
        <w:r>
          <w:rPr>
            <w:rFonts w:cs="Arial Narrow" w:ascii="Arial Narrow" w:hAnsi="Arial Narrow"/>
            <w:sz w:val="19"/>
          </w:rPr>
          <w:t>MAXDQ (if applicable):</w:t>
          <w:tab/>
          <w:t>30,000 MMBtu per Day, less any Third Party Quantities</w:t>
        </w:r>
      </w:ins>
    </w:p>
    <w:p>
      <w:pPr>
        <w:pStyle w:val="Normal"/>
        <w:tabs>
          <w:tab w:val="clear" w:pos="720"/>
          <w:tab w:val="left" w:pos="8640" w:leader="none"/>
        </w:tabs>
        <w:ind w:hanging="4680" w:start="4680" w:end="0"/>
        <w:jc w:val="both"/>
        <w:rPr/>
      </w:pPr>
      <w:r>
        <w:rPr>
          <w:rFonts w:cs="Arial Narrow" w:ascii="Arial Narrow" w:hAnsi="Arial Narrow"/>
          <w:sz w:val="19"/>
        </w:rPr>
        <w:t>Maximum Daily Delivery Point Quantity:</w:t>
        <w:tab/>
      </w:r>
      <w:r>
        <w:rPr>
          <w:rFonts w:cs="Arial Narrow" w:ascii="Arial Narrow" w:hAnsi="Arial Narrow"/>
          <w:sz w:val="19"/>
          <w:u w:val="single"/>
        </w:rPr>
        <w:t>6,197 MMBtu per Day</w:t>
      </w:r>
      <w:r>
        <w:rPr>
          <w:rFonts w:cs="Arial Narrow" w:ascii="Arial Narrow" w:hAnsi="Arial Narrow"/>
          <w:sz w:val="19"/>
        </w:rPr>
        <w:t xml:space="preserve"> for Malin (hereafter defined) and </w:t>
      </w:r>
      <w:del w:id="11" w:author="gnemec" w:date="2001-05-23T17:45:00Z">
        <w:r>
          <w:rPr>
            <w:rFonts w:cs="Arial Narrow" w:ascii="Arial Narrow" w:hAnsi="Arial Narrow"/>
            <w:sz w:val="19"/>
          </w:rPr>
          <w:delText>up to _______ at</w:delText>
        </w:r>
      </w:del>
      <w:ins w:id="12" w:author="gnemec" w:date="2001-05-23T17:45:00Z">
        <w:r>
          <w:rPr>
            <w:rFonts w:cs="Arial Narrow" w:ascii="Arial Narrow" w:hAnsi="Arial Narrow"/>
            <w:sz w:val="19"/>
            <w:u w:val="single"/>
          </w:rPr>
          <w:t>23,803 MMBtu per Day less any Third Party Quanitites less the Maximum Daily Deliver Point Quantity at Malin</w:t>
        </w:r>
      </w:ins>
      <w:ins w:id="13" w:author="gnemec" w:date="2001-05-23T17:45:00Z">
        <w:r>
          <w:rPr>
            <w:rFonts w:cs="Arial Narrow" w:ascii="Arial Narrow" w:hAnsi="Arial Narrow"/>
            <w:sz w:val="19"/>
          </w:rPr>
          <w:t xml:space="preserve"> for</w:t>
        </w:r>
      </w:ins>
      <w:r>
        <w:rPr>
          <w:rFonts w:cs="Arial Narrow" w:ascii="Arial Narrow" w:hAnsi="Arial Narrow"/>
          <w:sz w:val="19"/>
        </w:rPr>
        <w:t xml:space="preserve"> the PG&amp;E City Gate (hereafter defined).</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At the interconnect between Pacific Gas Transmission Company and PG&amp;E’s system at Malin, Oregon (“Malin”) or at the interconnection point of PG&amp;E’s backbone transmission system and PG&amp;E’s local transmission system (“PG&amp;E’s City Gate”)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“Malin” for all quantities of Gas delivered at Malin, and </w:t>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“PG&amp;E City Gate” for all quantities of Gas delivered at the PG&amp;E City Gate.  In the event that any quantities of Gas delivered hereunder are replacing </w:t>
      </w:r>
      <w:del w:id="14" w:author="gnemec" w:date="2001-05-23T17:45:00Z">
        <w:r>
          <w:rPr>
            <w:rFonts w:cs="Arial Narrow" w:ascii="Arial Narrow" w:hAnsi="Arial Narrow"/>
            <w:sz w:val="19"/>
          </w:rPr>
          <w:delText>quantities of Gas</w:delText>
        </w:r>
      </w:del>
      <w:ins w:id="15" w:author="gnemec" w:date="2001-05-23T17:45:00Z">
        <w:r>
          <w:rPr>
            <w:rFonts w:cs="Arial Narrow" w:ascii="Arial Narrow" w:hAnsi="Arial Narrow"/>
            <w:sz w:val="19"/>
          </w:rPr>
          <w:t>Third Party Quanitities</w:t>
        </w:r>
      </w:ins>
      <w:r>
        <w:rPr>
          <w:rFonts w:cs="Arial Narrow" w:ascii="Arial Narrow" w:hAnsi="Arial Narrow"/>
          <w:sz w:val="19"/>
        </w:rPr>
        <w:t xml:space="preserve"> that a third party supplier has failed to deliver under a Third Party Contract</w:t>
      </w:r>
      <w:del w:id="16" w:author="gnemec" w:date="2001-05-23T17:45:00Z">
        <w:r>
          <w:rPr>
            <w:rFonts w:cs="Arial Narrow" w:ascii="Arial Narrow" w:hAnsi="Arial Narrow"/>
            <w:sz w:val="19"/>
          </w:rPr>
          <w:delText>(as such term in defined under that certain Management Services Agreement between Company and Customer of even date herewith)</w:delText>
        </w:r>
      </w:del>
      <w:r>
        <w:rPr>
          <w:rFonts w:cs="Arial Narrow" w:ascii="Arial Narrow" w:hAnsi="Arial Narrow"/>
          <w:sz w:val="19"/>
        </w:rPr>
        <w:t xml:space="preserve"> (the “Replacement Gas”) the Contract Price hereunder for the Replacement Gas shall be equal to</w:t>
      </w:r>
      <w:r>
        <w:rPr>
          <w:rFonts w:cs="Arial Narrow" w:ascii="Arial Narrow" w:hAnsi="Arial Narrow"/>
          <w:color w:val="000000"/>
          <w:sz w:val="18"/>
        </w:rPr>
        <w:t xml:space="preserve"> </w:t>
      </w:r>
      <w:ins w:id="17" w:author="gnemec" w:date="2001-05-23T17:45:00Z">
        <w:r>
          <w:rPr>
            <w:rFonts w:cs="Arial Narrow" w:ascii="Arial Narrow" w:hAnsi="Arial Narrow"/>
            <w:color w:val="000000"/>
            <w:sz w:val="19"/>
          </w:rPr>
          <w:t xml:space="preserve">the “High” price set forth in </w:t>
        </w:r>
      </w:ins>
      <w:ins w:id="18" w:author="gnemec" w:date="2001-05-23T17:45:00Z">
        <w:r>
          <w:rPr>
            <w:rFonts w:cs="Arial Narrow" w:ascii="Arial Narrow" w:hAnsi="Arial Narrow"/>
            <w:color w:val="000000"/>
            <w:sz w:val="19"/>
            <w:u w:val="single"/>
          </w:rPr>
          <w:t>Gas Daily</w:t>
        </w:r>
      </w:ins>
      <w:ins w:id="19" w:author="gnemec" w:date="2001-05-23T17:45:00Z">
        <w:r>
          <w:rPr>
            <w:rFonts w:cs="Arial Narrow" w:ascii="Arial Narrow" w:hAnsi="Arial Narrow"/>
            <w:color w:val="000000"/>
            <w:sz w:val="19"/>
          </w:rPr>
          <w:t xml:space="preserve">® (Financial Times Energy), or successor publication, in the column "Daily Price Survey" </w:t>
        </w:r>
      </w:ins>
      <w:del w:id="20" w:author="gnemec" w:date="2001-05-23T17:45:00Z">
        <w:r>
          <w:rPr>
            <w:rFonts w:cs="Arial Narrow" w:ascii="Arial Narrow" w:hAnsi="Arial Narrow"/>
            <w:i/>
            <w:iCs/>
            <w:sz w:val="19"/>
          </w:rPr>
          <w:delText>[Gas Daily]</w:delText>
        </w:r>
      </w:del>
      <w:del w:id="21" w:author="gnemec" w:date="2001-05-23T17:45:00Z">
        <w:r>
          <w:rPr>
            <w:rFonts w:cs="Arial Narrow" w:ascii="Arial Narrow" w:hAnsi="Arial Narrow"/>
            <w:sz w:val="19"/>
          </w:rPr>
          <w:delText>.</w:delText>
        </w:r>
      </w:del>
      <w:ins w:id="22" w:author="gnemec" w:date="2001-05-23T17:45:00Z">
        <w:r>
          <w:rPr>
            <w:rFonts w:cs="Arial Narrow" w:ascii="Arial Narrow" w:hAnsi="Arial Narrow"/>
            <w:color w:val="000000"/>
            <w:sz w:val="19"/>
          </w:rPr>
          <w:t>under the listing for Malin or PG&amp;E City Gate, as applicable</w:t>
        </w:r>
      </w:ins>
      <w:ins w:id="23" w:author="gnemec" w:date="2001-05-23T17:45:00Z">
        <w:r>
          <w:rPr>
            <w:rFonts w:cs="Arial Narrow" w:ascii="Arial Narrow" w:hAnsi="Arial Narrow"/>
            <w:sz w:val="19"/>
          </w:rPr>
          <w:t>.</w:t>
        </w:r>
      </w:ins>
      <w:r>
        <w:rPr>
          <w:rFonts w:cs="Arial Narrow" w:ascii="Arial Narrow" w:hAnsi="Arial Narrow"/>
          <w:sz w:val="19"/>
        </w:rPr>
        <w:t xml:space="preserve">  The Contract Price hereunder is subject to the renegotiation provisions of Article 6 of </w:t>
      </w:r>
      <w:del w:id="24" w:author="gnemec" w:date="2001-05-23T17:45:00Z">
        <w:r>
          <w:rPr>
            <w:rFonts w:cs="Arial Narrow" w:ascii="Arial Narrow" w:hAnsi="Arial Narrow"/>
            <w:sz w:val="19"/>
          </w:rPr>
          <w:delText>Management Services Agreement between Company and Customer of even date herewith (the “MSA”).</w:delText>
        </w:r>
      </w:del>
      <w:ins w:id="25" w:author="gnemec" w:date="2001-05-23T17:45:00Z">
        <w:r>
          <w:rPr>
            <w:rFonts w:cs="Arial Narrow" w:ascii="Arial Narrow" w:hAnsi="Arial Narrow"/>
            <w:sz w:val="19"/>
          </w:rPr>
          <w:t>the MSA.</w:t>
        </w:r>
      </w:ins>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July 1, 2001 and end on June 30, 2004</w:t>
      </w:r>
      <w:r>
        <w:rPr>
          <w:rFonts w:cs="Arial Narrow" w:ascii="Arial Narrow" w:hAnsi="Arial Narrow"/>
          <w:i/>
          <w:sz w:val="19"/>
        </w:rPr>
        <w: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TERMINATION</w:t>
      </w:r>
      <w:r>
        <w:rPr>
          <w:rFonts w:cs="Arial Narrow" w:ascii="Arial Narrow" w:hAnsi="Arial Narrow"/>
          <w:iCs/>
          <w:sz w:val="19"/>
        </w:rPr>
        <w:t>:</w:t>
        <w:tab/>
        <w:t xml:space="preserve">This Transaction Agreement may be terminated in accordance with Section 5.2 of the MSA.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pPr>
      <w:del w:id="26" w:author="gnemec" w:date="2001-05-23T17:45:00Z">
        <w:r>
          <w:rPr/>
          <w:delText>Fixed Pricing:</w:delText>
        </w:r>
      </w:del>
      <w:ins w:id="27" w:author="gnemec" w:date="2001-05-23T17:45:00Z">
        <w:r>
          <w:rPr/>
          <w:t>FIXED PRICING:</w:t>
        </w:r>
      </w:ins>
      <w:r>
        <w:rPr/>
        <w:tab/>
        <w:t xml:space="preserve">Customer may request that a portion of the DCQ be converted to a Fixed Price for all or a portion of the Period of Delivery.  Upon such request, Company will provide Customer an offer for a Fixed Price for such quantity.  If the Customer and Company agree to the Fixed Price, that quantity of the DCQ converted to a Fixed Price shall be 100% firm Gas hereunder with no ability to swing by Customer.  A confirmation shall be sent to Customer confirming the Fixed Price agreement in accordance with Section 2.4 of the ENFOLIO Master Firm Purchase/Sale Agreement.  </w:t>
      </w:r>
    </w:p>
    <w:p>
      <w:pPr>
        <w:pStyle w:val="BodyTextIndent3"/>
        <w:rPr>
          <w:ins w:id="29" w:author="gnemec" w:date="2001-05-23T17:45:00Z"/>
        </w:rPr>
      </w:pPr>
      <w:ins w:id="28" w:author="gnemec" w:date="2001-05-23T17:45:00Z">
        <w:r>
          <w:rPr/>
          <w:t>CONSOLIDATED BILLING:</w:t>
          <w:tab/>
          <w:t>All invoices hereunder shall be consolidated with all invoicing under the MSA in accordance with Section 4.1 of the MSA</w:t>
        </w:r>
      </w:ins>
    </w:p>
    <w:p>
      <w:pPr>
        <w:pStyle w:val="BodyTextIndent3"/>
        <w:rPr>
          <w:i/>
          <w:i/>
          <w:iCs/>
          <w:ins w:id="31" w:author="gnemec" w:date="2001-05-23T17:45:00Z"/>
        </w:rPr>
      </w:pPr>
      <w:ins w:id="30" w:author="gnemec" w:date="2001-05-23T17:45:00Z">
        <w:r>
          <w:rPr/>
          <w:t>TRIGGERING EVENT:</w:t>
          <w:tab/>
          <w:t>With respect to this Transaction Agreement, a Triggering Event under Section 4.1 of the ENFOLIO Master Firm Purchase/Sale Agreement in effect between Customer and Company shall also include an early termination event under Section 12.1 of the MSA, with the terminating party under the MSA being the Notifying Party hereunder.</w:t>
        </w:r>
      </w:ins>
    </w:p>
    <w:p>
      <w:pPr>
        <w:pStyle w:val="BodyTextIndent2"/>
        <w:rPr>
          <w:sz w:val="20"/>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del w:id="32" w:author="gnemec" w:date="2001-05-23T17:45:00Z">
              <w:r>
                <w:rPr>
                  <w:rFonts w:cs="Arial Narrow" w:ascii="Arial Narrow" w:hAnsi="Arial Narrow"/>
                  <w:sz w:val="19"/>
                </w:rPr>
                <w:delText>ENRON NORTH AMERICA CORP.</w:delText>
              </w:r>
            </w:del>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del w:id="33" w:author="gnemec" w:date="2001-05-23T17:45:00Z">
              <w:r>
                <w:rPr>
                  <w:rFonts w:cs="Arial Narrow" w:ascii="Arial Narrow" w:hAnsi="Arial Narrow"/>
                  <w:sz w:val="19"/>
                </w:rPr>
                <w:delText>City of Palo Alto</w:delText>
              </w:r>
            </w:del>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ins w:id="34" w:author="gnemec" w:date="2001-05-23T17:45:00Z">
              <w:r>
                <w:rPr>
                  <w:rFonts w:cs="Arial Narrow" w:ascii="Arial Narrow" w:hAnsi="Arial Narrow"/>
                  <w:sz w:val="19"/>
                </w:rPr>
                <w:t>ENRON NORTH AMERICA CORP.</w:t>
              </w:r>
            </w:ins>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ins w:id="35" w:author="gnemec" w:date="2001-05-23T17:45:00Z">
              <w:r>
                <w:rPr>
                  <w:rFonts w:cs="Arial Narrow" w:ascii="Arial Narrow" w:hAnsi="Arial Narrow"/>
                  <w:sz w:val="19"/>
                </w:rPr>
                <w:t>CITY OF PALO ALTO</w:t>
              </w:r>
            </w:ins>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/mnt/main-storage/datasets/enron-docs/doc/PaloAlto_TA2red.doc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del w:id="36" w:author="gnemec" w:date="2001-05-23T17:45:00Z">
      <w:r>
        <w:rPr>
          <w:rFonts w:cs="Arial Narrow" w:ascii="Arial Narrow" w:hAnsi="Arial Narrow"/>
          <w:sz w:val="19"/>
        </w:rPr>
        <w:delText>Sierra Pacific Power Company</w:delText>
      </w:r>
    </w:del>
    <w:ins w:id="37" w:author="gnemec" w:date="2001-05-23T17:45:00Z">
      <w:r>
        <w:rPr>
          <w:rFonts w:cs="Arial Narrow" w:ascii="Arial Narrow" w:hAnsi="Arial Narrow"/>
          <w:sz w:val="19"/>
        </w:rPr>
        <w:t>City of Palo Alto</w:t>
      </w:r>
    </w:ins>
  </w:p>
  <w:p>
    <w:pPr>
      <w:pStyle w:val="Normal"/>
      <w:rPr/>
    </w:pPr>
    <w:del w:id="38" w:author="gnemec" w:date="2001-05-23T17:45:00Z">
      <w:r>
        <w:rPr>
          <w:rFonts w:cs="Arial Narrow" w:ascii="Arial Narrow" w:hAnsi="Arial Narrow"/>
          <w:sz w:val="19"/>
        </w:rPr>
        <w:delText>April 10,</w:delText>
      </w:r>
    </w:del>
    <w:ins w:id="39" w:author="gnemec" w:date="2001-05-23T17:45:00Z">
      <w:r>
        <w:rPr>
          <w:rFonts w:cs="Arial Narrow" w:ascii="Arial Narrow" w:hAnsi="Arial Narrow"/>
          <w:sz w:val="19"/>
        </w:rPr>
        <w:t>June 1,</w:t>
      </w:r>
    </w:ins>
    <w:r>
      <w:rPr>
        <w:rFonts w:cs="Arial Narrow" w:ascii="Arial Narrow" w:hAnsi="Arial Narrow"/>
        <w:sz w:val="19"/>
      </w:rPr>
      <w:t xml:space="preserve">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2001-05-23T20:15:00Z</dcterms:created>
  <dc:creator>dhyvl</dc:creator>
  <dc:description/>
  <dc:language>en-CA</dc:language>
  <cp:lastModifiedBy>gnemec</cp:lastModifiedBy>
  <cp:lastPrinted>2001-05-23T10:37:00Z</cp:lastPrinted>
  <dcterms:modified xsi:type="dcterms:W3CDTF">2001-05-23T20:15:00Z</dcterms:modified>
  <cp:revision>2</cp:revision>
  <dc:subject/>
  <dc:title>June 1,  2000</dc:title>
</cp:coreProperties>
</file>