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35,000 MMBtu per Day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Maximum Daily Delivery Point Quantity:</w:t>
        <w:tab/>
        <w:t>6,197 MMBtu per Day for Malin (hereafter defined) and up to _______ at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for all quantities of Gas delivered at Malin, and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“PG&amp;E City Gate” for all quantities of Gas delivered at the PG&amp;E City Gate.  In the event that any quantities of Gas delivered hereunder are replacing quantities of Gas that a third party supplier has failed to deliver under a Third Party Contract (as such term in defined under that certain Management Services Agreement between Company and Customer of even date herewith) (the “Replacement Gas”) the Contract Price hereunder for the Replacement Gas shall be equal to </w:t>
      </w:r>
      <w:r>
        <w:rPr>
          <w:rFonts w:cs="Arial Narrow" w:ascii="Arial Narrow" w:hAnsi="Arial Narrow"/>
          <w:i/>
          <w:iCs/>
          <w:sz w:val="19"/>
        </w:rPr>
        <w:t>[Gas Daily]</w:t>
      </w:r>
      <w:r>
        <w:rPr>
          <w:rFonts w:cs="Arial Narrow" w:ascii="Arial Narrow" w:hAnsi="Arial Narrow"/>
          <w:sz w:val="19"/>
        </w:rPr>
        <w:t>.  The Contract Price hereunder is subject to the renegotiation provisions of Article 6 of Management Services Agreement between Company and Customer of even date herewith (the “MSA”).</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Section 5.2 of the MSA.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i/>
          <w:i/>
          <w:iCs/>
        </w:rPr>
      </w:pPr>
      <w:r>
        <w:rPr/>
        <w:t>Fixed Pricing:</w:t>
        <w:tab/>
        <w:t xml:space="preserve">Customer may request that a portion of the DCQ be converted to a Fixed Price for all or a portion of the Period of Delivery.  Upon such request, Company will provide Customer an offer for a Fixed Price for such quantity.  If the Customer and Company agree to the Fixed Price, that quantity of the DCQ converted to a Fixed Price shall be 100% firm Gas hereunder with no ability to swing by Customer.  A confirmation shall be sent to Customer confirming the Fixed Price agreement in accordance with Section 2.4 of the ENFOLIO Master Firm Purchase/Sale Agreement.  </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/mnt/main-storage/datasets/enron-docs/doc/PaloAlto_TA1.doc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2001-05-22T12:43:00Z</dcterms:created>
  <dc:creator>dhyvl</dc:creator>
  <dc:description/>
  <dc:language>en-CA</dc:language>
  <cp:lastModifiedBy>gnemec</cp:lastModifiedBy>
  <cp:lastPrinted>2001-05-21T09:39:00Z</cp:lastPrinted>
  <dcterms:modified xsi:type="dcterms:W3CDTF">2001-05-22T12:43:00Z</dcterms:modified>
  <cp:revision>2</cp:revision>
  <dc:subject/>
  <dc:title>June 1,  2000</dc:title>
</cp:coreProperties>
</file>