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This Transaction Agreement is being provided pursuant to and in accordance with the ENFOLIO Master Firm Purchase/Sale Agreement in effect between Customer and Company dated April 11, 2001 (“Enfolio Agreement”) and constitutes part of and is subject to all of the terms and provisions of such Agreement.  Customer shall purchase and receive and Company shall sell and deliver.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the interconnection point of Pacific Gas &amp; Electric Company’s (“PG&amp;E”) local transmission system and Customer’s distribution system, less any quantities (“BaseLoad Quantities”) of Gas purchased by Customer and delivered under a BaseLoad Contract, as such term is defined in that certain Natural Gas Services Agreement between Company and Customer of even date herewith (the “NGSA”).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MAXDQ (if applicable):</w:t>
        <w:tab/>
        <w:t>30,000 MMBtu per Day, less any BaseLoad Quantities.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b/>
          <w:sz w:val="19"/>
        </w:rPr>
        <w:t>Tier I and Tier II:</w:t>
      </w:r>
      <w:r>
        <w:rPr>
          <w:rFonts w:cs="Arial Narrow" w:ascii="Arial Narrow" w:hAnsi="Arial Narrow"/>
          <w:sz w:val="19"/>
        </w:rPr>
        <w:tab/>
        <w:t xml:space="preserve">The first 6,197 MMBtu delivered by Company hereunder shall hereinafter be referred as “Tier I’ quantities, and all quantities in excess of 6,197 MMBtu per Day </w:t>
      </w:r>
      <w:r>
        <w:rPr>
          <w:rFonts w:cs="Arial Narrow" w:ascii="Arial Narrow" w:hAnsi="Arial Narrow"/>
          <w:b/>
          <w:sz w:val="19"/>
        </w:rPr>
        <w:t>less shrink</w:t>
      </w:r>
      <w:r>
        <w:rPr>
          <w:rFonts w:cs="Arial Narrow" w:ascii="Arial Narrow" w:hAnsi="Arial Narrow"/>
          <w:sz w:val="19"/>
        </w:rPr>
        <w:t xml:space="preserve"> up to MAXDQ shall be hereinafter referred to as “Tier II” quantities.</w:t>
      </w:r>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t xml:space="preserve">6,197 MMBtu per Day less any BaseLoad Quantities for Malin (hereafter defined) and 30,000 MMBtu per Day less any BaseLoad Quantities measured at the PG&amp;E City Gate (hereafter defined) less the Maximum Daily Delivery Point Quantity at Malin </w:t>
      </w:r>
      <w:r>
        <w:rPr>
          <w:rFonts w:cs="Arial Narrow" w:ascii="Arial Narrow" w:hAnsi="Arial Narrow"/>
          <w:b/>
          <w:sz w:val="19"/>
        </w:rPr>
        <w:t>less shrink</w:t>
      </w:r>
      <w:r>
        <w:rPr>
          <w:rFonts w:cs="Arial Narrow" w:ascii="Arial Narrow" w:hAnsi="Arial Narrow"/>
          <w:sz w:val="19"/>
        </w:rPr>
        <w:t xml:space="preserve"> for the PG&amp;E City Gate.</w:t>
      </w:r>
    </w:p>
    <w:p>
      <w:pPr>
        <w:pStyle w:val="BodyTextIndent3"/>
        <w:tabs>
          <w:tab w:val="clear" w:pos="4680"/>
          <w:tab w:val="left" w:pos="8640" w:leader="none"/>
        </w:tabs>
        <w:rPr/>
      </w:pPr>
      <w:r>
        <w:rPr/>
        <w:t>DELIVERY POINT(S):</w:t>
        <w:tab/>
        <w:t>At the interconnect between Pacific Gas Transmission Company and PG&amp;E’s system at Malin, Oregon (“Malin”) or at the interconnection point of PG&amp;E’s gas backbone transmission system and PG&amp;E’s local gas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Tier I quantities the Contract Price shall be </w:t>
      </w:r>
      <w:r>
        <w:rPr>
          <w:rFonts w:cs="Arial Narrow" w:ascii="Arial Narrow" w:hAnsi="Arial Narrow"/>
          <w:sz w:val="19"/>
          <w:u w:val="single"/>
        </w:rPr>
        <w:t>Natural Gas Intelligence</w:t>
      </w:r>
      <w:r>
        <w:rPr>
          <w:rFonts w:cs="Arial Narrow" w:ascii="Arial Narrow" w:hAnsi="Arial Narrow"/>
          <w:sz w:val="19"/>
        </w:rPr>
        <w:t xml:space="preserve"> Gas Price Index, in the first issue of the delivery Month, in the table titled “California”, on the line titled “Malin” </w:t>
      </w:r>
      <w:r>
        <w:rPr>
          <w:rFonts w:cs="Arial Narrow" w:ascii="Arial Narrow" w:hAnsi="Arial Narrow"/>
          <w:bCs/>
          <w:sz w:val="19"/>
        </w:rPr>
        <w:t>for all quantities of Gas delivered at Malin, and for Tier II quantities</w:t>
      </w:r>
      <w:r>
        <w:rPr>
          <w:rFonts w:cs="Arial Narrow" w:ascii="Arial Narrow" w:hAnsi="Arial Narrow"/>
          <w:sz w:val="19"/>
        </w:rPr>
        <w:t xml:space="preserve"> the Contract Price shall be </w:t>
      </w:r>
      <w:r>
        <w:rPr>
          <w:rFonts w:cs="Arial Narrow" w:ascii="Arial Narrow" w:hAnsi="Arial Narrow"/>
          <w:sz w:val="19"/>
          <w:u w:val="single"/>
        </w:rPr>
        <w:t>Natural Gas Intelligence</w:t>
      </w:r>
      <w:r>
        <w:rPr>
          <w:rFonts w:cs="Arial Narrow" w:ascii="Arial Narrow" w:hAnsi="Arial Narrow"/>
          <w:sz w:val="19"/>
        </w:rPr>
        <w:t xml:space="preserve"> Gas Price Index, in the first issue of the delivery Month, in the table titled “California”, on the line titled “PG&amp;E City Gate” for all quantities of Gas delivered at the PG&amp;E City Gate.</w:t>
      </w:r>
    </w:p>
    <w:p>
      <w:pPr>
        <w:pStyle w:val="Normal"/>
        <w:tabs>
          <w:tab w:val="clear" w:pos="720"/>
          <w:tab w:val="left" w:pos="8640" w:leader="none"/>
        </w:tabs>
        <w:ind w:hanging="4680" w:start="4680" w:end="0"/>
        <w:jc w:val="both"/>
        <w:rPr/>
      </w:pPr>
      <w:r>
        <w:rPr>
          <w:rFonts w:cs="Arial Narrow" w:ascii="Arial Narrow" w:hAnsi="Arial Narrow"/>
          <w:sz w:val="19"/>
        </w:rPr>
        <w:t>THIRD PARTY FAILURE TO DELIVER:</w:t>
        <w:tab/>
        <w:t>In the event that any quantities of Gas delivered hereunder are replacing BaseLoad Quantities that a third party supplier has failed to deliver under a BaseLoad Contract (the “Replacement Gas”) the Contract Price hereunder for such Replacement Gas shall be equal to</w:t>
      </w:r>
      <w:r>
        <w:rPr>
          <w:rFonts w:cs="Arial Narrow" w:ascii="Arial Narrow" w:hAnsi="Arial Narrow"/>
          <w:color w:val="000000"/>
          <w:sz w:val="18"/>
        </w:rPr>
        <w:t xml:space="preserve"> </w:t>
      </w:r>
      <w:r>
        <w:rPr>
          <w:rFonts w:cs="Arial Narrow" w:ascii="Arial Narrow" w:hAnsi="Arial Narrow"/>
          <w:color w:val="000000"/>
          <w:sz w:val="19"/>
        </w:rPr>
        <w:t xml:space="preserve">the “Absolute 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TERMINATION:</w:t>
        <w:tab/>
        <w:t xml:space="preserve">This Transaction Agreement may be terminated in accordance with the provisions of the Enfolio Agreement.  In addition, termination of the NGSA shall result in the automatic termination of this Transaction Agreement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 xml:space="preserve">Customer may request that a portion of the DCQ be converted to a Fixed Price for all or a portion of the Period of Delivery (the “Fixed Priced Quantity” or “FPQ”).  Upon such request, Company will provide Customer an offer for a Fixed Price for the FPQ.  If Customer and Company agree to the Fixed Price, the FPQ shall be 100% firm baseload Gas hereunder with no ability to swing by Customer.  A confirmation shall be sent to Customer confirming the Fixed Price agreement in accordance with Section 2.4 of the Enfolio Agreement.  </w:t>
      </w:r>
    </w:p>
    <w:p>
      <w:pPr>
        <w:pStyle w:val="BodyTextIndent3"/>
        <w:rPr/>
      </w:pPr>
      <w:r>
        <w:rPr/>
        <w:t>CONSOLIDATED BILLING:</w:t>
        <w:tab/>
        <w:t>All invoices hereunder shall be consolidated with all invoicing under the NGSA in accordance with Section 5.1 of the NGSA.</w:t>
      </w:r>
    </w:p>
    <w:p>
      <w:pPr>
        <w:pStyle w:val="BodyTextIndent3"/>
        <w:rPr>
          <w:i/>
          <w:i/>
        </w:rPr>
      </w:pPr>
      <w:r>
        <w:rPr/>
        <w:tab/>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June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2001-06-20T13:40:00Z</dcterms:created>
  <dc:creator>dhyvl</dc:creator>
  <dc:description/>
  <dc:language>en-CA</dc:language>
  <cp:lastModifiedBy>sdickso</cp:lastModifiedBy>
  <cp:lastPrinted>2001-06-01T17:16:00Z</cp:lastPrinted>
  <dcterms:modified xsi:type="dcterms:W3CDTF">2001-06-20T15:54:00Z</dcterms:modified>
  <cp:revision>5</cp:revision>
  <dc:subject/>
  <dc:title>June 1,  2000</dc:title>
</cp:coreProperties>
</file>