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szCs w:val="22"/>
        </w:rPr>
      </w:pPr>
      <w:r>
        <w:rPr>
          <w:sz w:val="22"/>
          <w:szCs w:val="22"/>
        </w:rPr>
      </w:r>
    </w:p>
    <w:p>
      <w:pPr>
        <w:pStyle w:val="Normal"/>
        <w:jc w:val="center"/>
        <w:rPr>
          <w:sz w:val="22"/>
          <w:szCs w:val="22"/>
        </w:rPr>
      </w:pPr>
      <w:r>
        <w:rPr>
          <w:sz w:val="22"/>
          <w:szCs w:val="22"/>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t>April 27, 2000</w:t>
      </w:r>
    </w:p>
    <w:p>
      <w:pPr>
        <w:pStyle w:val="Normal"/>
        <w:jc w:val="both"/>
        <w:rPr>
          <w:sz w:val="20"/>
          <w:szCs w:val="20"/>
        </w:rPr>
      </w:pPr>
      <w:r>
        <w:rPr>
          <w:sz w:val="20"/>
          <w:szCs w:val="20"/>
        </w:rPr>
      </w:r>
    </w:p>
    <w:p>
      <w:pPr>
        <w:pStyle w:val="Normal"/>
        <w:jc w:val="both"/>
        <w:rPr>
          <w:sz w:val="20"/>
          <w:szCs w:val="20"/>
        </w:rPr>
      </w:pPr>
      <w:r>
        <w:rPr>
          <w:b/>
          <w:bCs/>
          <w:i/>
          <w:iCs/>
          <w:sz w:val="20"/>
          <w:szCs w:val="20"/>
          <w:u w:val="single"/>
        </w:rPr>
        <w:t>VIA COURIER</w:t>
      </w:r>
    </w:p>
    <w:p>
      <w:pPr>
        <w:pStyle w:val="Normal"/>
        <w:jc w:val="both"/>
        <w:rPr>
          <w:sz w:val="20"/>
          <w:szCs w:val="20"/>
        </w:rPr>
      </w:pPr>
      <w:r>
        <w:rPr>
          <w:sz w:val="20"/>
          <w:szCs w:val="20"/>
        </w:rPr>
      </w:r>
    </w:p>
    <w:p>
      <w:pPr>
        <w:pStyle w:val="Normal"/>
        <w:jc w:val="both"/>
        <w:rPr>
          <w:sz w:val="20"/>
          <w:szCs w:val="20"/>
        </w:rPr>
      </w:pPr>
      <w:r>
        <w:rPr>
          <w:sz w:val="20"/>
          <w:szCs w:val="20"/>
        </w:rPr>
        <w:t>Mr. Andrew Mc Comb</w:t>
      </w:r>
    </w:p>
    <w:p>
      <w:pPr>
        <w:pStyle w:val="Normal"/>
        <w:jc w:val="both"/>
        <w:rPr>
          <w:sz w:val="20"/>
          <w:szCs w:val="20"/>
        </w:rPr>
      </w:pPr>
      <w:r>
        <w:rPr>
          <w:sz w:val="20"/>
          <w:szCs w:val="20"/>
        </w:rPr>
        <w:t>Palladium Insurance Limited</w:t>
      </w:r>
    </w:p>
    <w:p>
      <w:pPr>
        <w:pStyle w:val="Normal"/>
        <w:jc w:val="both"/>
        <w:rPr/>
      </w:pPr>
      <w:r>
        <w:rPr>
          <w:sz w:val="20"/>
          <w:szCs w:val="20"/>
        </w:rPr>
        <w:t>Windsor Place, 3</w:t>
      </w:r>
      <w:r>
        <w:rPr>
          <w:sz w:val="20"/>
          <w:szCs w:val="20"/>
          <w:vertAlign w:val="superscript"/>
        </w:rPr>
        <w:t>rd</w:t>
      </w:r>
      <w:r>
        <w:rPr>
          <w:sz w:val="20"/>
          <w:szCs w:val="20"/>
        </w:rPr>
        <w:t xml:space="preserve"> Floor</w:t>
      </w:r>
    </w:p>
    <w:p>
      <w:pPr>
        <w:pStyle w:val="Normal"/>
        <w:jc w:val="both"/>
        <w:rPr>
          <w:sz w:val="20"/>
          <w:szCs w:val="20"/>
        </w:rPr>
      </w:pPr>
      <w:r>
        <w:rPr>
          <w:sz w:val="20"/>
          <w:szCs w:val="20"/>
        </w:rPr>
        <w:t xml:space="preserve">Hamilton Bermuda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tabs>
          <w:tab w:val="left" w:pos="720" w:leader="none"/>
        </w:tabs>
        <w:ind w:hanging="1440" w:start="1440" w:end="0"/>
        <w:jc w:val="both"/>
        <w:rPr>
          <w:b/>
          <w:bCs/>
          <w:i/>
          <w:i/>
          <w:iCs/>
          <w:sz w:val="20"/>
          <w:szCs w:val="20"/>
        </w:rPr>
      </w:pPr>
      <w:r>
        <w:rPr>
          <w:b/>
          <w:bCs/>
          <w:i/>
          <w:iCs/>
          <w:sz w:val="20"/>
          <w:szCs w:val="20"/>
        </w:rPr>
        <w:tab/>
        <w:t>Re:</w:t>
        <w:tab/>
        <w:t>ISDA Master Agreement between Enron North America Corp. (“Enron”) and Palladium Insurance Limited (“Palladium”) dated as of April 27, 1999 (“the ISDA Master”)</w:t>
      </w:r>
    </w:p>
    <w:p>
      <w:pPr>
        <w:pStyle w:val="Normal"/>
        <w:jc w:val="both"/>
        <w:rPr>
          <w:b/>
          <w:bCs/>
          <w:i/>
          <w:i/>
          <w:iCs/>
          <w:sz w:val="20"/>
          <w:szCs w:val="20"/>
        </w:rPr>
      </w:pPr>
      <w:r>
        <w:rPr>
          <w:b/>
          <w:bCs/>
          <w:i/>
          <w:iCs/>
          <w:sz w:val="20"/>
          <w:szCs w:val="20"/>
        </w:rPr>
      </w:r>
    </w:p>
    <w:p>
      <w:pPr>
        <w:pStyle w:val="Normal"/>
        <w:jc w:val="both"/>
        <w:rPr>
          <w:sz w:val="20"/>
          <w:szCs w:val="20"/>
        </w:rPr>
      </w:pPr>
      <w:r>
        <w:rPr>
          <w:sz w:val="20"/>
          <w:szCs w:val="20"/>
        </w:rPr>
        <w:t>Dear Mr. Mc Comb:</w:t>
      </w:r>
    </w:p>
    <w:p>
      <w:pPr>
        <w:pStyle w:val="Normal"/>
        <w:jc w:val="both"/>
        <w:rPr>
          <w:sz w:val="20"/>
          <w:szCs w:val="20"/>
        </w:rPr>
      </w:pPr>
      <w:r>
        <w:rPr>
          <w:sz w:val="20"/>
          <w:szCs w:val="20"/>
        </w:rPr>
      </w:r>
    </w:p>
    <w:p>
      <w:pPr>
        <w:pStyle w:val="Justified"/>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purpose of this letter is to inform you that as of the date of this letter, Palladium has failed to pay certain amounts due and owing to Enron in connection with the transactions listed in Exhibit 1 attached hereto. According to the attached invoice (“Exhibit 2”), Palladium had certain payment obligations to Enron in respect of these transactions due on April 14, 2000. According to our calculations, the aggregate amount owed by Palladium was $13,288,750 of which $9,707,500 remains unpaid (“Unpaid Amount”) to date.</w:t>
      </w:r>
    </w:p>
    <w:p>
      <w:pPr>
        <w:pStyle w:val="Normal"/>
        <w:jc w:val="both"/>
        <w:rPr>
          <w:rFonts w:ascii="Times New Roman" w:hAnsi="Times New Roman" w:eastAsia="Times New Roman" w:cs="Times New Roman"/>
          <w:sz w:val="20"/>
          <w:szCs w:val="20"/>
        </w:rPr>
      </w:pPr>
      <w:r>
        <w:rPr>
          <w:rFonts w:eastAsia="Times New Roman" w:cs="Times New Roman"/>
          <w:sz w:val="20"/>
          <w:szCs w:val="20"/>
        </w:rPr>
      </w:r>
    </w:p>
    <w:p>
      <w:pPr>
        <w:pStyle w:val="Normal"/>
        <w:ind w:firstLine="720" w:end="0"/>
        <w:jc w:val="both"/>
        <w:rPr>
          <w:sz w:val="20"/>
          <w:szCs w:val="20"/>
        </w:rPr>
      </w:pPr>
      <w:r>
        <w:rPr>
          <w:sz w:val="20"/>
          <w:szCs w:val="20"/>
        </w:rPr>
        <w:t xml:space="preserve">In accordance with the ISDA Master, we hereby notify Palladium that unless the Unpaid Amount is received by Enron by 5:00 p.m. (CST) on May 3, 2000, this failure to pay shall constitute an Event of Default under Section 5(a)(i) of the ISDA Master, and Enron shall be entitled to all of its rights and remedies under the ISDA Master including, without limitation, the right to draw on the entire amount available under the letter of credit which Palladium has posted to us and terminate any outstanding transactions.  Furthermore, in accordance with the ISDA Master, Palladium shall remain liable for any amounts owing to Enron and remaining unpaid after the application by Enron of any collateral posted to it.    </w:t>
      </w:r>
    </w:p>
    <w:p>
      <w:pPr>
        <w:pStyle w:val="Normal"/>
        <w:jc w:val="both"/>
        <w:rPr>
          <w:sz w:val="20"/>
          <w:szCs w:val="20"/>
        </w:rPr>
      </w:pPr>
      <w:r>
        <w:rPr>
          <w:sz w:val="20"/>
          <w:szCs w:val="20"/>
        </w:rPr>
      </w:r>
    </w:p>
    <w:p>
      <w:pPr>
        <w:pStyle w:val="Normal"/>
        <w:ind w:firstLine="720" w:end="0"/>
        <w:jc w:val="both"/>
        <w:rPr>
          <w:sz w:val="20"/>
          <w:szCs w:val="20"/>
        </w:rPr>
      </w:pPr>
      <w:r>
        <w:rPr>
          <w:sz w:val="20"/>
          <w:szCs w:val="20"/>
        </w:rPr>
        <w:t xml:space="preserve">Should you have any questions or comments regarding the above, please call Mark Tawney (713) 345-7759 or Tanya Rohauer at (713) 853-3263.  </w:t>
      </w:r>
    </w:p>
    <w:p>
      <w:pPr>
        <w:pStyle w:val="Normal"/>
        <w:jc w:val="both"/>
        <w:rPr>
          <w:sz w:val="20"/>
          <w:szCs w:val="20"/>
        </w:rPr>
      </w:pPr>
      <w:r>
        <w:rPr>
          <w:sz w:val="20"/>
          <w:szCs w:val="20"/>
        </w:rPr>
      </w:r>
    </w:p>
    <w:p>
      <w:pPr>
        <w:pStyle w:val="Normal"/>
        <w:ind w:start="5040" w:end="0"/>
        <w:jc w:val="both"/>
        <w:rPr>
          <w:sz w:val="20"/>
          <w:szCs w:val="20"/>
        </w:rPr>
      </w:pPr>
      <w:r>
        <w:rPr>
          <w:sz w:val="20"/>
          <w:szCs w:val="20"/>
        </w:rPr>
        <w:t>Very truly yours,</w:t>
      </w:r>
    </w:p>
    <w:p>
      <w:pPr>
        <w:pStyle w:val="Normal"/>
        <w:ind w:start="5040" w:end="0"/>
        <w:jc w:val="both"/>
        <w:rPr>
          <w:sz w:val="20"/>
          <w:szCs w:val="20"/>
        </w:rPr>
      </w:pPr>
      <w:r>
        <w:rPr>
          <w:sz w:val="20"/>
          <w:szCs w:val="20"/>
        </w:rPr>
      </w:r>
    </w:p>
    <w:p>
      <w:pPr>
        <w:pStyle w:val="Normal"/>
        <w:ind w:start="5040" w:end="0"/>
        <w:jc w:val="both"/>
        <w:rPr>
          <w:sz w:val="20"/>
          <w:szCs w:val="20"/>
        </w:rPr>
      </w:pPr>
      <w:r>
        <w:rPr>
          <w:sz w:val="20"/>
          <w:szCs w:val="20"/>
        </w:rPr>
      </w:r>
    </w:p>
    <w:p>
      <w:pPr>
        <w:pStyle w:val="Normal"/>
        <w:ind w:start="5040" w:end="0"/>
        <w:jc w:val="both"/>
        <w:rPr>
          <w:sz w:val="20"/>
          <w:szCs w:val="20"/>
        </w:rPr>
      </w:pPr>
      <w:r>
        <w:rPr>
          <w:sz w:val="20"/>
          <w:szCs w:val="20"/>
        </w:rPr>
        <w:t>Shari Stack</w:t>
      </w:r>
    </w:p>
    <w:p>
      <w:pPr>
        <w:pStyle w:val="Normal"/>
        <w:ind w:start="5040" w:end="0"/>
        <w:jc w:val="both"/>
        <w:rPr>
          <w:sz w:val="20"/>
          <w:szCs w:val="20"/>
        </w:rPr>
      </w:pPr>
      <w:r>
        <w:rPr>
          <w:sz w:val="20"/>
          <w:szCs w:val="20"/>
        </w:rPr>
        <w:t>Senior Counsel</w:t>
      </w:r>
    </w:p>
    <w:p>
      <w:pPr>
        <w:pStyle w:val="Normal"/>
        <w:jc w:val="both"/>
        <w:rPr>
          <w:sz w:val="20"/>
          <w:szCs w:val="20"/>
        </w:rPr>
      </w:pPr>
      <w:r>
        <w:rPr>
          <w:sz w:val="20"/>
          <w:szCs w:val="20"/>
        </w:rPr>
      </w:r>
    </w:p>
    <w:p>
      <w:pPr>
        <w:pStyle w:val="Normal"/>
        <w:jc w:val="both"/>
        <w:rPr>
          <w:sz w:val="20"/>
          <w:szCs w:val="20"/>
        </w:rPr>
      </w:pPr>
      <w:r>
        <w:rPr>
          <w:sz w:val="20"/>
          <w:szCs w:val="20"/>
        </w:rPr>
        <w:t>Attachment</w:t>
      </w:r>
    </w:p>
    <w:p>
      <w:pPr>
        <w:pStyle w:val="Normal"/>
        <w:tabs>
          <w:tab w:val="clear" w:pos="720"/>
          <w:tab w:val="left" w:pos="360" w:leader="none"/>
        </w:tabs>
        <w:jc w:val="both"/>
        <w:rPr>
          <w:sz w:val="20"/>
          <w:szCs w:val="20"/>
        </w:rPr>
      </w:pPr>
      <w:r>
        <w:rPr>
          <w:sz w:val="20"/>
          <w:szCs w:val="20"/>
        </w:rPr>
      </w:r>
    </w:p>
    <w:p>
      <w:pPr>
        <w:pStyle w:val="Normal"/>
        <w:tabs>
          <w:tab w:val="clear" w:pos="720"/>
          <w:tab w:val="left" w:pos="360" w:leader="none"/>
        </w:tabs>
        <w:jc w:val="both"/>
        <w:rPr>
          <w:sz w:val="20"/>
          <w:szCs w:val="20"/>
        </w:rPr>
      </w:pPr>
      <w:r>
        <w:rPr>
          <w:sz w:val="20"/>
          <w:szCs w:val="20"/>
        </w:rPr>
        <w:t>cc:</w:t>
        <w:tab/>
        <w:t xml:space="preserve">  Ms. Tanya Rohauer  </w:t>
        <w:tab/>
      </w:r>
    </w:p>
    <w:p>
      <w:pPr>
        <w:pStyle w:val="Normal"/>
        <w:tabs>
          <w:tab w:val="clear" w:pos="720"/>
          <w:tab w:val="left" w:pos="360" w:leader="none"/>
        </w:tabs>
        <w:jc w:val="both"/>
        <w:rPr>
          <w:sz w:val="20"/>
          <w:szCs w:val="20"/>
        </w:rPr>
      </w:pPr>
      <w:r>
        <w:rPr>
          <w:sz w:val="20"/>
          <w:szCs w:val="20"/>
        </w:rPr>
        <w:t xml:space="preserve">         </w:t>
      </w:r>
      <w:r>
        <w:rPr>
          <w:sz w:val="20"/>
          <w:szCs w:val="20"/>
        </w:rPr>
        <w:t>Mr. Mark Tawney</w:t>
      </w:r>
    </w:p>
    <w:p>
      <w:pPr>
        <w:pStyle w:val="Normal"/>
        <w:tabs>
          <w:tab w:val="clear" w:pos="720"/>
          <w:tab w:val="left" w:pos="360" w:leader="none"/>
        </w:tabs>
        <w:jc w:val="both"/>
        <w:rPr>
          <w:sz w:val="20"/>
          <w:szCs w:val="20"/>
        </w:rPr>
      </w:pPr>
      <w:r>
        <w:rPr>
          <w:sz w:val="20"/>
          <w:szCs w:val="20"/>
        </w:rPr>
        <w:t xml:space="preserve">               </w:t>
      </w:r>
      <w:r>
        <w:br w:type="page"/>
      </w:r>
    </w:p>
    <w:p>
      <w:pPr>
        <w:pStyle w:val="Header"/>
        <w:jc w:val="center"/>
        <w:rPr>
          <w:b/>
          <w:bCs/>
          <w:sz w:val="28"/>
          <w:szCs w:val="28"/>
        </w:rPr>
      </w:pPr>
      <w:r>
        <w:rPr>
          <w:b/>
          <w:bCs/>
          <w:sz w:val="28"/>
          <w:szCs w:val="28"/>
        </w:rPr>
        <w:t>EXHIBIT 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/mnt/main-storage/datasets/enron-docs/doc/Palladium.doc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bCs/>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eastAsia="Arial" w:cs="Arial"/>
      <w:sz w:val="20"/>
      <w:szCs w:val="20"/>
    </w:rPr>
  </w:style>
  <w:style w:type="paragraph" w:styleId="Heading3">
    <w:name w:val="heading 3"/>
    <w:basedOn w:val="Normal"/>
    <w:next w:val="NormalIndent"/>
    <w:qFormat/>
    <w:pPr>
      <w:numPr>
        <w:ilvl w:val="2"/>
        <w:numId w:val="1"/>
      </w:numPr>
      <w:ind w:hanging="0" w:start="360" w:end="0"/>
      <w:outlineLvl w:val="2"/>
    </w:pPr>
    <w:rPr>
      <w:b/>
      <w:bCs/>
      <w:sz w:val="24"/>
      <w:szCs w:val="24"/>
    </w:rPr>
  </w:style>
  <w:style w:type="paragraph" w:styleId="Heading4">
    <w:name w:val="heading 4"/>
    <w:basedOn w:val="Heading1"/>
    <w:next w:val="BodyText"/>
    <w:qFormat/>
    <w:pPr>
      <w:numPr>
        <w:ilvl w:val="3"/>
        <w:numId w:val="1"/>
      </w:numPr>
      <w:ind w:hanging="0" w:start="1440" w:end="1440"/>
      <w:jc w:val="both"/>
      <w:outlineLvl w:val="3"/>
    </w:pPr>
    <w:rPr>
      <w:b w:val="false"/>
      <w:bCs w:val="false"/>
      <w:caps/>
    </w:rPr>
  </w:style>
  <w:style w:type="paragraph" w:styleId="Heading5">
    <w:name w:val="heading 5"/>
    <w:basedOn w:val="Normal"/>
    <w:next w:val="NormalIndent"/>
    <w:qFormat/>
    <w:pPr>
      <w:numPr>
        <w:ilvl w:val="4"/>
        <w:numId w:val="1"/>
      </w:numPr>
      <w:ind w:hanging="0" w:start="720" w:end="0"/>
      <w:outlineLvl w:val="4"/>
    </w:pPr>
    <w:rPr>
      <w:rFonts w:ascii="Arial" w:hAnsi="Arial" w:eastAsia="Arial" w:cs="Arial"/>
      <w:b/>
      <w:bCs/>
      <w:sz w:val="20"/>
      <w:szCs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eastAsia="Arial" w:cs="Arial"/>
    </w:rPr>
  </w:style>
  <w:style w:type="paragraph" w:styleId="Heading9">
    <w:name w:val="heading 9"/>
    <w:basedOn w:val="Normal"/>
    <w:next w:val="NormalIndent"/>
    <w:qFormat/>
    <w:pPr>
      <w:numPr>
        <w:ilvl w:val="8"/>
        <w:numId w:val="1"/>
      </w:numPr>
      <w:ind w:hanging="0" w:start="720" w:end="0"/>
      <w:outlineLvl w:val="8"/>
    </w:pPr>
    <w:rPr>
      <w:rFonts w:ascii="Arial" w:hAnsi="Arial" w:eastAsia="Arial" w:cs="Arial"/>
      <w:i/>
      <w:iCs/>
      <w:sz w:val="20"/>
      <w:szCs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eastAsia="Times New Roman" w:cs="Times New Roman"/>
      <w:sz w:val="16"/>
      <w:szCs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eastAsia="Times New Roman" w:cs="Times New Roman"/>
      <w:sz w:val="22"/>
      <w:szCs w:val="22"/>
    </w:rPr>
  </w:style>
  <w:style w:type="paragraph" w:styleId="Heading">
    <w:name w:val="Heading"/>
    <w:basedOn w:val="Normal"/>
    <w:next w:val="BodyText"/>
    <w:qFormat/>
    <w:pPr>
      <w:jc w:val="center"/>
    </w:pPr>
    <w:rP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b/>
      <w:bCs/>
      <w:u w:val="double"/>
    </w:rPr>
  </w:style>
  <w:style w:type="paragraph" w:styleId="center">
    <w:name w:val="center"/>
    <w:basedOn w:val="Normal"/>
    <w:qFormat/>
    <w:pPr>
      <w:jc w:val="center"/>
    </w:pPr>
    <w:rPr>
      <w:b/>
      <w:bCs/>
      <w:u w:val="single"/>
    </w:rPr>
  </w:style>
  <w:style w:type="paragraph" w:styleId="Bibliogrphy">
    <w:name w:val="Bibliogrphy"/>
    <w:basedOn w:val="Normal"/>
    <w:qFormat/>
    <w:pPr>
      <w:ind w:firstLine="720" w:start="720" w:end="0"/>
    </w:pPr>
    <w:rPr>
      <w:sz w:val="24"/>
      <w:szCs w:val="24"/>
    </w:rPr>
  </w:style>
  <w:style w:type="paragraph" w:styleId="DocInit">
    <w:name w:val="Doc Init"/>
    <w:basedOn w:val="Normal"/>
    <w:qFormat/>
    <w:pPr/>
    <w:rPr>
      <w:sz w:val="24"/>
      <w:szCs w:val="24"/>
    </w:rPr>
  </w:style>
  <w:style w:type="paragraph" w:styleId="Document">
    <w:name w:val="Document"/>
    <w:basedOn w:val="Normal"/>
    <w:qFormat/>
    <w:pPr/>
    <w:rPr>
      <w:sz w:val="24"/>
      <w:szCs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bCs/>
      <w:caps/>
      <w:spacing w:val="60"/>
    </w:rPr>
  </w:style>
  <w:style w:type="paragraph" w:styleId="EXTRALARGE">
    <w:name w:val="EXTRA LARGE"/>
    <w:basedOn w:val="Normal"/>
    <w:qFormat/>
    <w:pPr/>
    <w:rPr>
      <w:sz w:val="24"/>
      <w:szCs w:val="24"/>
    </w:rPr>
  </w:style>
  <w:style w:type="paragraph" w:styleId="FINE">
    <w:name w:val="FINE"/>
    <w:basedOn w:val="Normal"/>
    <w:qFormat/>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eastAsia="Arial" w:cs="Arial"/>
      <w:vanish/>
      <w:color w:val="FF0000"/>
    </w:rPr>
  </w:style>
  <w:style w:type="paragraph" w:styleId="HIGHLIGHT2">
    <w:name w:val="HIGHLIGHT 2"/>
    <w:basedOn w:val="Normal"/>
    <w:qFormat/>
    <w:pPr/>
    <w:rPr>
      <w:sz w:val="24"/>
      <w:szCs w:val="24"/>
    </w:rPr>
  </w:style>
  <w:style w:type="paragraph" w:styleId="HIGHLIGHT3">
    <w:name w:val="HIGHLIGHT 3"/>
    <w:basedOn w:val="Normal"/>
    <w:qFormat/>
    <w:pPr/>
    <w:rPr>
      <w:sz w:val="24"/>
      <w:szCs w:val="24"/>
    </w:rPr>
  </w:style>
  <w:style w:type="paragraph" w:styleId="Index1">
    <w:name w:val="index 1"/>
    <w:basedOn w:val="Normal"/>
    <w:next w:val="Normal"/>
    <w:pPr/>
    <w:rPr>
      <w:rFonts w:ascii="Arial" w:hAnsi="Arial" w:eastAsia="Arial" w:cs="Arial"/>
      <w:sz w:val="20"/>
      <w:szCs w:val="20"/>
    </w:rPr>
  </w:style>
  <w:style w:type="paragraph" w:styleId="Index2">
    <w:name w:val="index 2"/>
    <w:basedOn w:val="Normal"/>
    <w:next w:val="Normal"/>
    <w:pPr>
      <w:ind w:hanging="0" w:start="360" w:end="0"/>
    </w:pPr>
    <w:rPr>
      <w:rFonts w:ascii="Arial" w:hAnsi="Arial" w:eastAsia="Arial" w:cs="Arial"/>
      <w:sz w:val="20"/>
      <w:szCs w:val="20"/>
    </w:rPr>
  </w:style>
  <w:style w:type="paragraph" w:styleId="Index3">
    <w:name w:val="index 3"/>
    <w:basedOn w:val="Normal"/>
    <w:next w:val="Normal"/>
    <w:pPr>
      <w:ind w:hanging="0" w:start="720" w:end="0"/>
    </w:pPr>
    <w:rPr>
      <w:rFonts w:ascii="Arial" w:hAnsi="Arial" w:eastAsia="Arial" w:cs="Arial"/>
      <w:sz w:val="20"/>
      <w:szCs w:val="20"/>
    </w:rPr>
  </w:style>
  <w:style w:type="paragraph" w:styleId="Index4">
    <w:name w:val="Index 4"/>
    <w:basedOn w:val="Normal"/>
    <w:next w:val="Normal"/>
    <w:qFormat/>
    <w:pPr>
      <w:ind w:hanging="0" w:start="1080" w:end="0"/>
    </w:pPr>
    <w:rPr>
      <w:rFonts w:ascii="Arial" w:hAnsi="Arial" w:eastAsia="Arial" w:cs="Arial"/>
      <w:sz w:val="20"/>
      <w:szCs w:val="20"/>
    </w:rPr>
  </w:style>
  <w:style w:type="paragraph" w:styleId="Index5">
    <w:name w:val="Index 5"/>
    <w:basedOn w:val="Normal"/>
    <w:next w:val="Normal"/>
    <w:qFormat/>
    <w:pPr>
      <w:ind w:hanging="0" w:start="1440" w:end="0"/>
    </w:pPr>
    <w:rPr>
      <w:rFonts w:ascii="Arial" w:hAnsi="Arial" w:eastAsia="Arial" w:cs="Arial"/>
      <w:sz w:val="20"/>
      <w:szCs w:val="20"/>
    </w:rPr>
  </w:style>
  <w:style w:type="paragraph" w:styleId="Index6">
    <w:name w:val="Index 6"/>
    <w:basedOn w:val="Normal"/>
    <w:next w:val="Normal"/>
    <w:qFormat/>
    <w:pPr>
      <w:ind w:hanging="0" w:start="1800" w:end="0"/>
    </w:pPr>
    <w:rPr>
      <w:rFonts w:ascii="Arial" w:hAnsi="Arial" w:eastAsia="Arial" w:cs="Arial"/>
      <w:sz w:val="20"/>
      <w:szCs w:val="20"/>
    </w:rPr>
  </w:style>
  <w:style w:type="paragraph" w:styleId="Index7">
    <w:name w:val="Index 7"/>
    <w:basedOn w:val="Normal"/>
    <w:next w:val="Normal"/>
    <w:qFormat/>
    <w:pPr>
      <w:ind w:hanging="0" w:start="2160" w:end="0"/>
    </w:pPr>
    <w:rPr>
      <w:rFonts w:ascii="Arial" w:hAnsi="Arial" w:eastAsia="Arial" w:cs="Arial"/>
      <w:sz w:val="20"/>
      <w:szCs w:val="20"/>
    </w:rPr>
  </w:style>
  <w:style w:type="paragraph" w:styleId="IndexHeading">
    <w:name w:val="index heading"/>
    <w:basedOn w:val="Normal"/>
    <w:next w:val="Index1"/>
    <w:pPr/>
    <w:rPr>
      <w:rFonts w:ascii="Arial" w:hAnsi="Arial" w:eastAsia="Arial" w:cs="Arial"/>
      <w:sz w:val="20"/>
      <w:szCs w:val="20"/>
    </w:rPr>
  </w:style>
  <w:style w:type="paragraph" w:styleId="INVOICEEXP">
    <w:name w:val="INVOICE EXP"/>
    <w:basedOn w:val="Normal"/>
    <w:qFormat/>
    <w:pPr>
      <w:tabs>
        <w:tab w:val="clear" w:pos="720"/>
        <w:tab w:val="left" w:pos="432" w:leader="none"/>
        <w:tab w:val="left" w:pos="1152" w:leader="none"/>
        <w:tab w:val="decimal" w:pos="9864" w:leader="none"/>
      </w:tabs>
    </w:pPr>
    <w:rP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sz w:val="24"/>
      <w:szCs w:val="24"/>
    </w:rPr>
  </w:style>
  <w:style w:type="paragraph" w:styleId="INVOICEHEAD">
    <w:name w:val="INVOICE HEAD"/>
    <w:basedOn w:val="Normal"/>
    <w:qFormat/>
    <w:pPr>
      <w:tabs>
        <w:tab w:val="clear" w:pos="720"/>
        <w:tab w:val="left" w:pos="4680" w:leader="none"/>
      </w:tabs>
      <w:jc w:val="center"/>
    </w:pPr>
    <w:rP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sz w:val="24"/>
      <w:szCs w:val="24"/>
    </w:rPr>
  </w:style>
  <w:style w:type="paragraph" w:styleId="Justified">
    <w:name w:val="Justified"/>
    <w:basedOn w:val="Normal"/>
    <w:next w:val="Heading2"/>
    <w:qFormat/>
    <w:pPr>
      <w:spacing w:before="0" w:after="120"/>
      <w:jc w:val="both"/>
    </w:pPr>
    <w:rPr>
      <w:rFonts w:ascii="Arial" w:hAnsi="Arial" w:eastAsia="Arial" w:cs="Arial"/>
    </w:rPr>
  </w:style>
  <w:style w:type="paragraph" w:styleId="LARGE">
    <w:name w:val="LARGE"/>
    <w:basedOn w:val="Normal"/>
    <w:qFormat/>
    <w:pPr/>
    <w:rPr>
      <w:sz w:val="24"/>
      <w:szCs w:val="24"/>
    </w:rPr>
  </w:style>
  <w:style w:type="paragraph" w:styleId="LETTERHEAD">
    <w:name w:val="LETTERHEAD"/>
    <w:basedOn w:val="Normal"/>
    <w:qFormat/>
    <w:pPr>
      <w:jc w:val="center"/>
    </w:pPr>
    <w:rPr>
      <w:sz w:val="24"/>
      <w:szCs w:val="24"/>
    </w:rPr>
  </w:style>
  <w:style w:type="paragraph" w:styleId="MEMORANDUM">
    <w:name w:val="MEMORANDUM"/>
    <w:basedOn w:val="Normal"/>
    <w:qFormat/>
    <w:pPr>
      <w:jc w:val="center"/>
    </w:pPr>
    <w:rPr>
      <w:sz w:val="24"/>
      <w:szCs w:val="24"/>
    </w:rPr>
  </w:style>
  <w:style w:type="paragraph" w:styleId="Pleading">
    <w:name w:val="Pleading"/>
    <w:basedOn w:val="Normal"/>
    <w:qFormat/>
    <w:pPr>
      <w:tabs>
        <w:tab w:val="clear" w:pos="720"/>
        <w:tab w:val="right" w:pos="288" w:leader="none"/>
      </w:tabs>
    </w:pPr>
    <w:rPr>
      <w:sz w:val="24"/>
      <w:szCs w:val="24"/>
    </w:rPr>
  </w:style>
  <w:style w:type="paragraph" w:styleId="RightPar">
    <w:name w:val="Right Par"/>
    <w:basedOn w:val="Normal"/>
    <w:qFormat/>
    <w:pPr>
      <w:ind w:firstLine="720" w:start="0" w:end="0"/>
    </w:pPr>
    <w:rPr>
      <w:sz w:val="24"/>
      <w:szCs w:val="24"/>
    </w:rPr>
  </w:style>
  <w:style w:type="paragraph" w:styleId="SMALL">
    <w:name w:val="SMALL"/>
    <w:basedOn w:val="Normal"/>
    <w:qFormat/>
    <w:pPr/>
    <w:rPr>
      <w:sz w:val="24"/>
      <w:szCs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sz w:val="24"/>
      <w:szCs w:val="24"/>
    </w:rPr>
  </w:style>
  <w:style w:type="paragraph" w:styleId="TechInit">
    <w:name w:val="Tech Init"/>
    <w:basedOn w:val="Normal"/>
    <w:qFormat/>
    <w:pPr/>
    <w:rPr>
      <w:sz w:val="24"/>
      <w:szCs w:val="24"/>
    </w:rPr>
  </w:style>
  <w:style w:type="paragraph" w:styleId="Technical">
    <w:name w:val="Technical"/>
    <w:basedOn w:val="Normal"/>
    <w:qFormat/>
    <w:pPr/>
    <w:rPr>
      <w:sz w:val="24"/>
      <w:szCs w:val="24"/>
    </w:rPr>
  </w:style>
  <w:style w:type="paragraph" w:styleId="Title">
    <w:name w:val="Title"/>
    <w:basedOn w:val="Normal"/>
    <w:next w:val="Normal"/>
    <w:qFormat/>
    <w:pPr>
      <w:pageBreakBefore/>
      <w:spacing w:before="0" w:after="240"/>
      <w:jc w:val="center"/>
    </w:pPr>
    <w:rPr>
      <w:b/>
      <w:bCs/>
      <w:sz w:val="28"/>
      <w:szCs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VERYLARGE">
    <w:name w:val="VERY LARGE"/>
    <w:basedOn w:val="Normal"/>
    <w:qFormat/>
    <w:pPr/>
    <w:rPr>
      <w:sz w:val="24"/>
      <w:szCs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BodyText2">
    <w:name w:val="Body Text 2"/>
    <w:basedOn w:val="Normal"/>
    <w:qFormat/>
    <w:pPr>
      <w:ind w:hanging="0" w:start="720" w:end="0"/>
      <w:jc w:val="both"/>
    </w:pPr>
    <w:rPr>
      <w:sz w:val="24"/>
      <w:szCs w:val="24"/>
    </w:rPr>
  </w:style>
  <w:style w:type="paragraph" w:styleId="BodyTextIndent2">
    <w:name w:val="Body Text Indent 2"/>
    <w:basedOn w:val="Normal"/>
    <w:qFormat/>
    <w:pPr>
      <w:ind w:hanging="720" w:start="144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2000-04-26T21:04:00Z</dcterms:created>
  <dc:creator>mheard</dc:creator>
  <dc:description/>
  <dc:language>en-CA</dc:language>
  <cp:lastModifiedBy>sstack</cp:lastModifiedBy>
  <cp:lastPrinted>2000-04-27T15:58:00Z</cp:lastPrinted>
  <dcterms:modified xsi:type="dcterms:W3CDTF">2000-04-27T18:28:00Z</dcterms:modified>
  <cp:revision>1</cp:revision>
  <dc:subject/>
  <dc:title>July 23, 1999</dc:title>
</cp:coreProperties>
</file>