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Late and Unnecessary (Pacificorp)</w:t>
      </w:r>
    </w:p>
    <w:p>
      <w:pPr>
        <w:pStyle w:val="Normal"/>
        <w:rPr>
          <w:b/>
          <w:bCs/>
        </w:rPr>
      </w:pPr>
      <w:r>
        <w:rPr>
          <w:b/>
          <w:bCs/>
        </w:rPr>
      </w:r>
    </w:p>
    <w:p>
      <w:pPr>
        <w:pStyle w:val="Normal"/>
        <w:rPr/>
      </w:pPr>
      <w:r>
        <w:rPr/>
        <w:t>CDWR signed a ten contract with Pacificorp to purchase capacity from the Klamath combined cycle project.  The capacity purchased is  150 MW of capacity from about August 1, 2002 through June 30, 2002, 200 MW from July 2002 through June, 2004, and 300 MW from July, 2004 through June 30, 2011.</w:t>
      </w:r>
    </w:p>
    <w:p>
      <w:pPr>
        <w:pStyle w:val="Normal"/>
        <w:rPr/>
      </w:pPr>
      <w:r>
        <w:rPr/>
      </w:r>
    </w:p>
    <w:p>
      <w:pPr>
        <w:pStyle w:val="Normal"/>
        <w:rPr/>
      </w:pPr>
      <w:r>
        <w:rPr/>
        <w:t xml:space="preserve">Through the end of 2002, the contract has a fixed price ($70/MWh) and is not dispatchable.  As a result, it prevents ratepayers from reaping any rewards from the recent decline in gas prices.In 2003, the contract converts to a dispatchable contract that is sensitive to gas prices.  Therefore, ratepayers are exposed to future gas price risk, while not benefiting from the short-term price decline.  </w:t>
      </w:r>
    </w:p>
    <w:p>
      <w:pPr>
        <w:pStyle w:val="Normal"/>
        <w:rPr/>
      </w:pPr>
      <w:r>
        <w:rPr/>
      </w:r>
    </w:p>
    <w:p>
      <w:pPr>
        <w:pStyle w:val="Normal"/>
        <w:rPr/>
      </w:pPr>
      <w:r>
        <w:rPr/>
        <w:t>The savings from dispatchability are roughly equivalent to gas prices at about a heat rate of 8600 Btu/kWh.  The energy</w:t>
      </w:r>
      <w:r>
        <w:rPr>
          <w:b/>
          <w:bCs/>
        </w:rPr>
        <w:t xml:space="preserve"> </w:t>
      </w:r>
      <w:r>
        <w:rPr/>
        <w:t>price for this project is higher than for other dispatchable combined cycle projects because its location in the Pacific Northwest requires the addition of  losses and reserve charges, raising its price by about 5% relative to plants in California.  “The capacity price for the project (about $141/kW-year) was slightly lower than other contracts with separately stated capacity prices (such as GWF).</w:t>
      </w:r>
    </w:p>
    <w:p>
      <w:pPr>
        <w:pStyle w:val="Normal"/>
        <w:rPr/>
      </w:pPr>
      <w:r>
        <w:rPr/>
      </w:r>
    </w:p>
    <w:p>
      <w:pPr>
        <w:pStyle w:val="Normal"/>
        <w:rPr/>
      </w:pPr>
      <w:r>
        <w:rPr/>
        <w:t>The overall cost of the power from the plant (assuming gas at $4.50/MMBtu) is higher than the cost of power from other vendors such as the Calpine combined cycles and Allegheny’s resale of existing gas-fired power.  The total of the plant’s fixed capacity and fixed and variable O&amp;M charges amount to $28/MWh for the plant’s 93% capacity factor operation, a figure which is even higher than Sempra’s extremely expensive $26/MWh for 7X24 operation.</w:t>
      </w:r>
    </w:p>
    <w:p>
      <w:pPr>
        <w:pStyle w:val="Normal"/>
        <w:rPr/>
      </w:pPr>
      <w:r>
        <w:rPr/>
      </w:r>
    </w:p>
    <w:p>
      <w:pPr>
        <w:pStyle w:val="Normal"/>
        <w:rPr/>
      </w:pPr>
      <w:r>
        <w:rPr/>
        <w:t>The contract is a ten-year contract and provides only half as much power in the summer of 2001 than its maximum capacity.  Both of these features limit the state’s planning flexibility.</w:t>
      </w:r>
    </w:p>
    <w:p>
      <w:pPr>
        <w:pStyle w:val="Normal"/>
        <w:rPr/>
      </w:pPr>
      <w:r>
        <w:rPr/>
      </w:r>
    </w:p>
    <w:p>
      <w:pPr>
        <w:pStyle w:val="Normal"/>
        <w:rPr/>
      </w:pPr>
      <w:r>
        <w:rPr/>
        <w:t>While this contract is more expensive than other comparable combined cycle contracts, two other key features cause us to raise serious questions about it.</w:t>
      </w:r>
    </w:p>
    <w:p>
      <w:pPr>
        <w:pStyle w:val="Normal"/>
        <w:rPr/>
      </w:pPr>
      <w:r>
        <w:rPr/>
      </w:r>
    </w:p>
    <w:p>
      <w:pPr>
        <w:pStyle w:val="Normal"/>
        <w:ind w:hanging="720" w:start="720" w:end="0"/>
        <w:rPr/>
      </w:pPr>
      <w:r>
        <w:rPr/>
        <w:t>1.</w:t>
        <w:tab/>
      </w:r>
      <w:r>
        <w:rPr>
          <w:b/>
          <w:bCs/>
        </w:rPr>
        <w:t>This was one of the latest contracts signed – on July 6, 2001</w:t>
      </w:r>
      <w:r>
        <w:rPr/>
        <w:t xml:space="preserve">, long after CDWR and other parties were aware of the potential for power surpluses.  The contract was unnecessary.  </w:t>
      </w:r>
    </w:p>
    <w:p>
      <w:pPr>
        <w:pStyle w:val="Normal"/>
        <w:rPr/>
      </w:pPr>
      <w:r>
        <w:rPr/>
      </w:r>
    </w:p>
    <w:p>
      <w:pPr>
        <w:pStyle w:val="Normal"/>
        <w:ind w:hanging="720" w:start="720" w:end="0"/>
        <w:rPr/>
      </w:pPr>
      <w:r>
        <w:rPr/>
        <w:t>2.</w:t>
        <w:tab/>
        <w:t xml:space="preserve">It was disclosed that the </w:t>
      </w:r>
      <w:r>
        <w:rPr>
          <w:b/>
          <w:bCs/>
        </w:rPr>
        <w:t>state’s chief negotiator, Vikram Budhraja, owned stock in Scottish Power, the parent company of Pacificorp</w:t>
      </w:r>
      <w:r>
        <w:rPr/>
        <w:t>, at the time the contract was being negotiated and signed, raising serious questions of conflict of interest.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2001-08-24T16:08:00Z</dcterms:created>
  <dc:creator>Bill Marcus</dc:creator>
  <dc:description/>
  <dc:language>en-CA</dc:language>
  <cp:lastModifiedBy>Bill Marcus</cp:lastModifiedBy>
  <dcterms:modified xsi:type="dcterms:W3CDTF">2001-08-24T16:29:00Z</dcterms:modified>
  <cp:revision>1</cp:revision>
  <dc:subject/>
  <dc:title>Late and Unnecessary (Pacificorp)</dc:title>
</cp:coreProperties>
</file>