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Tms Rmn 12pt;Book Antiqua" w:hAnsi="Tms Rmn 12pt;Book Antiqua" w:eastAsia="Tms Rmn 12pt;Book Antiqua" w:cs="Tms Rmn 12pt;Book Antiqua"/>
          <w:b/>
          <w:bCs/>
          <w:sz w:val="28"/>
          <w:szCs w:val="28"/>
          <w:lang w:val="en-CA"/>
        </w:rPr>
      </w:pPr>
      <w:r>
        <w:drawing>
          <wp:anchor behindDoc="0" distT="0" distB="0" distL="114300" distR="114300" simplePos="0" locked="0" layoutInCell="0" allowOverlap="1" relativeHeight="2">
            <wp:simplePos x="0" y="0"/>
            <wp:positionH relativeFrom="column">
              <wp:posOffset>4114800</wp:posOffset>
            </wp:positionH>
            <wp:positionV relativeFrom="paragraph">
              <wp:posOffset>-274320</wp:posOffset>
            </wp:positionV>
            <wp:extent cx="1471295" cy="22796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471295" cy="227965"/>
                    </a:xfrm>
                    <a:prstGeom prst="rect">
                      <a:avLst/>
                    </a:prstGeom>
                    <a:noFill/>
                  </pic:spPr>
                </pic:pic>
              </a:graphicData>
            </a:graphic>
          </wp:anchor>
        </w:drawing>
      </w:r>
      <w:r>
        <w:rPr>
          <w:rFonts w:eastAsia="Tms Rmn 12pt;Book Antiqua" w:cs="Tms Rmn 12pt;Book Antiqua" w:ascii="Tms Rmn 12pt;Book Antiqua" w:hAnsi="Tms Rmn 12pt;Book Antiqua"/>
          <w:b/>
          <w:bCs/>
          <w:sz w:val="28"/>
          <w:szCs w:val="28"/>
          <w:lang w:val="en-CA"/>
        </w:rPr>
        <w:tab/>
        <w:t>MEMORANDUM</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t>TO:</w:t>
        <w:tab/>
        <w:tab/>
        <w:t>WSPP CONTRACTS COMMITTEE</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t>FROM:</w:t>
        <w:tab/>
        <w:t>JEREMY WEINSTEIN, PACIFICORP IN-HOUSE COUNSEL</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t>RE:</w:t>
        <w:tab/>
        <w:tab/>
        <w:t>PROPOSED CHANGES TO WSPP AGREEMENT</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t>DATE:</w:t>
        <w:tab/>
        <w:t>NOVEMBER 1, 2001</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r>
    </w:p>
    <w:p>
      <w:pPr>
        <w:pStyle w:val="Normal"/>
        <w:tabs>
          <w:tab w:val="clear" w:pos="720"/>
          <w:tab w:val="left" w:pos="-720" w:leader="none"/>
        </w:tabs>
        <w:suppressAutoHyphens w:val="true"/>
        <w:rPr/>
      </w:pPr>
      <w:r>
        <w:rPr>
          <w:rFonts w:eastAsia="Tms Rmn 12pt;Book Antiqua" w:cs="Tms Rmn 12pt;Book Antiqua" w:ascii="Tms Rmn 12pt;Book Antiqua" w:hAnsi="Tms Rmn 12pt;Book Antiqua"/>
        </w:rPr>
        <w:tab/>
      </w:r>
      <w:r>
        <w:rPr>
          <w:rFonts w:eastAsia="Tms Rmn 12pt;Book Antiqua" w:cs="Tms Rmn 12pt;Book Antiqua" w:ascii="Tms Rmn 12pt;Book Antiqua" w:hAnsi="Tms Rmn 12pt;Book Antiqua"/>
        </w:rPr>
        <w:fldChar w:fldCharType="begin"/>
      </w:r>
      <w:r>
        <w:rPr>
          <w:rFonts w:eastAsia="Tms Rmn 12pt;Book Antiqua" w:cs="Tms Rmn 12pt;Book Antiqua" w:ascii="Tms Rmn 12pt;Book Antiqua" w:hAnsi="Tms Rmn 12pt;Book Antiqua"/>
        </w:rPr>
        <w:instrText xml:space="preserve"> SEQ level1 \* ALPHABETIC </w:instrText>
      </w:r>
      <w:r>
        <w:rPr>
          <w:rFonts w:eastAsia="Tms Rmn 12pt;Book Antiqua" w:cs="Tms Rmn 12pt;Book Antiqua" w:ascii="Tms Rmn 12pt;Book Antiqua" w:hAnsi="Tms Rmn 12pt;Book Antiqua"/>
        </w:rPr>
        <w:fldChar w:fldCharType="separate"/>
      </w:r>
      <w:r>
        <w:rPr>
          <w:rFonts w:eastAsia="Tms Rmn 12pt;Book Antiqua" w:cs="Tms Rmn 12pt;Book Antiqua" w:ascii="Tms Rmn 12pt;Book Antiqua" w:hAnsi="Tms Rmn 12pt;Book Antiqua"/>
        </w:rPr>
        <w:t>A</w:t>
      </w:r>
      <w:r>
        <w:rPr>
          <w:rFonts w:eastAsia="Tms Rmn 12pt;Book Antiqua" w:cs="Tms Rmn 12pt;Book Antiqua" w:ascii="Tms Rmn 12pt;Book Antiqua" w:hAnsi="Tms Rmn 12pt;Book Antiqua"/>
        </w:rPr>
        <w:fldChar w:fldCharType="end"/>
      </w:r>
      <w:r>
        <w:rPr>
          <w:rFonts w:eastAsia="Tms Rmn 12pt;Book Antiqua" w:cs="Tms Rmn 12pt;Book Antiqua" w:ascii="Tms Rmn 12pt;Book Antiqua" w:hAnsi="Tms Rmn 12pt;Book Antiqua"/>
        </w:rPr>
        <w:t>.</w:t>
        <w:tab/>
      </w:r>
      <w:r>
        <w:rPr>
          <w:rFonts w:eastAsia="Tms Rmn 12pt;Book Antiqua" w:cs="Tms Rmn 12pt;Book Antiqua" w:ascii="Tms Rmn 12pt;Book Antiqua" w:hAnsi="Tms Rmn 12pt;Book Antiqua"/>
          <w:u w:val="single"/>
        </w:rPr>
        <w:t>Netting</w:t>
      </w:r>
      <w:r>
        <w:rPr>
          <w:rFonts w:eastAsia="Tms Rmn 12pt;Book Antiqua" w:cs="Tms Rmn 12pt;Book Antiqua" w:ascii="Tms Rmn 12pt;Book Antiqua" w:hAnsi="Tms Rmn 12pt;Book Antiqua"/>
        </w:rPr>
        <w: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The October 12 operating committee meeting consid</w:t>
        <w:softHyphen/>
        <w:t>ered "netting" changes to §§22.2 and 22.3(d) of the WSPP Agree</w:t>
        <w:softHyphen/>
        <w:t>ment to permit a party "notwithstanding any contrary provi</w:t>
        <w:softHyphen/>
        <w:t>sions" to exer</w:t>
        <w:softHyphen/>
        <w:t>cise WSPP remedies for the WSPP Agreement and "any other agree</w:t>
        <w:softHyphen/>
        <w:t>ments between the Parties involving the sale of electric power".  Language added to §21.1 effective July 1 provides the WSPP Agreement "contains express rem</w:t>
        <w:softHyphen/>
        <w:t>edies or measures of damages in Sections 21.3 and 22 for non-performance or default.  THE LIA</w:t>
        <w:softHyphen/>
        <w:t>BILITY OF THE NON-PERFORMING OR DEFAULTING PARTY SHALL BE LIMITED AS SET FORTH IN SUCH PROVISIONS, AND ALL OTHER DAMAGES OR REME</w:t>
        <w:softHyphen/>
        <w:t>DIES ARE HEREBY WAIVED."  Therefore, if the WSPP Agreement is amended as was suggested at the October 12 meeting to say that its remedies apply to external contracts, the parties automatical</w:t>
        <w:softHyphen/>
        <w:t>ly waive all remedies that would otherwise have been available under such external contracts, such as EEI Agreements.</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After opposition to these proposed changes was voiced at the October meeting, the WSPP leadership tabled them, and now promotes the netting forms before us today.  These would be optional, but with the tabled changes, they indicate a trend that should be addressed.</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The International Swaps and Derivatives Association and the Edison Electric Institute sponsor master netting agreement forms for financially and physically settled energy and energy deriva</w:t>
        <w:softHyphen/>
        <w:t xml:space="preserve">tive transactions.  Both forms are long and complex, if not daunting.  Large companies, with deep contract review and negotiation legal resources, commonly use them.  </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On the other hand, the WSPP has for over a decade sponsored an agreement that is not just for major companies, but also for a diverse membership including independ</w:t>
        <w:softHyphen/>
        <w:t>ent power producers, power marketers of all sizes, utilities, small municipalities, public utility districts and electric co-ops.  These latter seek a simple, widely accepted multi</w:t>
        <w:softHyphen/>
        <w:t>lateral agreement that does not need individual renegotiation for each new counter</w:t>
        <w:softHyphen/>
        <w:t>party, and provides them with a standard contract with set terms and conditions, making business easier to conduct and the market more liquid.</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If the WSPP adds bells and whistles to remake itself into a competitor to the ISDA or EEI forms, it does so at the expense of the diverse membership.  The WSPP does not need to look like an EEI or ISDA, because the marketplace already has those forms.  It will die out if it seeks to evolve to compete in a niche that is already filled.  Count</w:t>
        <w:softHyphen/>
        <w:t>er</w:t>
        <w:softHyphen/>
        <w:t>parties almost always supplement ISDA and EEI forms with lengthy bilat</w:t>
        <w:softHyphen/>
        <w:t>eral schedules and collateral support annexes, and if the WSPP seeks to so remake itself it will in</w:t>
        <w:softHyphen/>
        <w:t>crease the need for complica</w:t>
        <w:softHyphen/>
        <w:t>ted custom bilateral amendments among WSPP counter</w:t>
        <w:softHyphen/>
        <w:t>parties, watering down WSPP multilateralism and increasing the need for custom legal work.  The expense of this will hit the smaller entities disproportionately harder.</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Features that impose the WSPP remedies on other agreements among parties are especially dangerous for the hidden landmines they represent, and the WSPP should not be in the business of superseding rem</w:t>
        <w:softHyphen/>
        <w:t>edies under existing bilateral contracts in or out of the WSPP.  Doing so would require every member to review its port</w:t>
        <w:softHyphen/>
        <w:t>folio to document around it with expedited bilateral amendments to bring agreements back in line with original intent.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Finally, the same policies that may be leading government entity members not to use the EEI form will become increasingly applicable to their ability to use the WSPP, as the WSPP is made to look like an EEI.</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pPr>
      <w:r>
        <w:rPr>
          <w:rFonts w:eastAsia="Tms Rmn 12pt;Book Antiqua" w:cs="Tms Rmn 12pt;Book Antiqua" w:ascii="Tms Rmn 12pt;Book Antiqua" w:hAnsi="Tms Rmn 12pt;Book Antiqua"/>
        </w:rPr>
        <w:tab/>
      </w:r>
      <w:r>
        <w:rPr>
          <w:rFonts w:eastAsia="Tms Rmn 12pt;Book Antiqua" w:cs="Tms Rmn 12pt;Book Antiqua" w:ascii="Tms Rmn 12pt;Book Antiqua" w:hAnsi="Tms Rmn 12pt;Book Antiqua"/>
        </w:rPr>
        <w:fldChar w:fldCharType="begin"/>
      </w:r>
      <w:r>
        <w:rPr>
          <w:rFonts w:eastAsia="Tms Rmn 12pt;Book Antiqua" w:cs="Tms Rmn 12pt;Book Antiqua" w:ascii="Tms Rmn 12pt;Book Antiqua" w:hAnsi="Tms Rmn 12pt;Book Antiqua"/>
        </w:rPr>
        <w:instrText xml:space="preserve"> SEQ level1 \* ALPHABETIC </w:instrText>
      </w:r>
      <w:r>
        <w:rPr>
          <w:rFonts w:eastAsia="Tms Rmn 12pt;Book Antiqua" w:cs="Tms Rmn 12pt;Book Antiqua" w:ascii="Tms Rmn 12pt;Book Antiqua" w:hAnsi="Tms Rmn 12pt;Book Antiqua"/>
        </w:rPr>
        <w:fldChar w:fldCharType="separate"/>
      </w:r>
      <w:r>
        <w:rPr>
          <w:rFonts w:eastAsia="Tms Rmn 12pt;Book Antiqua" w:cs="Tms Rmn 12pt;Book Antiqua" w:ascii="Tms Rmn 12pt;Book Antiqua" w:hAnsi="Tms Rmn 12pt;Book Antiqua"/>
        </w:rPr>
        <w:t>B</w:t>
      </w:r>
      <w:r>
        <w:rPr>
          <w:rFonts w:eastAsia="Tms Rmn 12pt;Book Antiqua" w:cs="Tms Rmn 12pt;Book Antiqua" w:ascii="Tms Rmn 12pt;Book Antiqua" w:hAnsi="Tms Rmn 12pt;Book Antiqua"/>
        </w:rPr>
        <w:fldChar w:fldCharType="end"/>
      </w:r>
      <w:r>
        <w:rPr>
          <w:rFonts w:eastAsia="Tms Rmn 12pt;Book Antiqua" w:cs="Tms Rmn 12pt;Book Antiqua" w:ascii="Tms Rmn 12pt;Book Antiqua" w:hAnsi="Tms Rmn 12pt;Book Antiqua"/>
        </w:rPr>
        <w:t>.</w:t>
        <w:tab/>
      </w:r>
      <w:r>
        <w:rPr>
          <w:rFonts w:eastAsia="Tms Rmn 12pt;Book Antiqua" w:cs="Tms Rmn 12pt;Book Antiqua" w:ascii="Tms Rmn 12pt;Book Antiqua" w:hAnsi="Tms Rmn 12pt;Book Antiqua"/>
          <w:u w:val="single"/>
        </w:rPr>
        <w:t>CAISO Language</w:t>
      </w:r>
      <w:r>
        <w:rPr>
          <w:rFonts w:eastAsia="Tms Rmn 12pt;Book Antiqua" w:cs="Tms Rmn 12pt;Book Antiqua" w:ascii="Tms Rmn 12pt;Book Antiqua" w:hAnsi="Tms Rmn 12pt;Book Antiqua"/>
        </w:rPr>
        <w: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The proposed "reach-through" language permitting use of prod</w:t>
        <w:softHyphen/>
        <w:t>uct definitions from other sources, such as the CAISO tariff or the EEI Agreement, is not problematic, even if recourse to other agreements will make contract interpretation more complicat</w:t>
        <w:softHyphen/>
        <w:t>ed.  But an even fur</w:t>
        <w:softHyphen/>
        <w:t>ther layer of complication should not be added by making a reach-through ambiguously such.  The proposed definition of the CAISO product, with the exception of the last sentence, is identical to that commonly used with EEI Agreements.  The WSPP should not confuse traders as to whether they are dealing in "WSPP CAISO" or "EEI CAISO," and simply rely on the availability of a reach-through to the EEI CAISO product, rather than create a new, customized WSPP CAISO product.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pPr>
      <w:r>
        <w:rPr>
          <w:rFonts w:eastAsia="Tms Rmn 12pt;Book Antiqua" w:cs="Tms Rmn 12pt;Book Antiqua" w:ascii="Tms Rmn 12pt;Book Antiqua" w:hAnsi="Tms Rmn 12pt;Book Antiqua"/>
        </w:rPr>
        <w:tab/>
      </w:r>
      <w:r>
        <w:rPr>
          <w:rFonts w:eastAsia="Tms Rmn 12pt;Book Antiqua" w:cs="Tms Rmn 12pt;Book Antiqua" w:ascii="Tms Rmn 12pt;Book Antiqua" w:hAnsi="Tms Rmn 12pt;Book Antiqua"/>
        </w:rPr>
        <w:fldChar w:fldCharType="begin"/>
      </w:r>
      <w:r>
        <w:rPr>
          <w:rFonts w:eastAsia="Tms Rmn 12pt;Book Antiqua" w:cs="Tms Rmn 12pt;Book Antiqua" w:ascii="Tms Rmn 12pt;Book Antiqua" w:hAnsi="Tms Rmn 12pt;Book Antiqua"/>
        </w:rPr>
        <w:instrText xml:space="preserve"> SEQ level1 \* ALPHABETIC </w:instrText>
      </w:r>
      <w:r>
        <w:rPr>
          <w:rFonts w:eastAsia="Tms Rmn 12pt;Book Antiqua" w:cs="Tms Rmn 12pt;Book Antiqua" w:ascii="Tms Rmn 12pt;Book Antiqua" w:hAnsi="Tms Rmn 12pt;Book Antiqua"/>
        </w:rPr>
        <w:fldChar w:fldCharType="separate"/>
      </w:r>
      <w:r>
        <w:rPr>
          <w:rFonts w:eastAsia="Tms Rmn 12pt;Book Antiqua" w:cs="Tms Rmn 12pt;Book Antiqua" w:ascii="Tms Rmn 12pt;Book Antiqua" w:hAnsi="Tms Rmn 12pt;Book Antiqua"/>
        </w:rPr>
        <w:t>C</w:t>
      </w:r>
      <w:r>
        <w:rPr>
          <w:rFonts w:eastAsia="Tms Rmn 12pt;Book Antiqua" w:cs="Tms Rmn 12pt;Book Antiqua" w:ascii="Tms Rmn 12pt;Book Antiqua" w:hAnsi="Tms Rmn 12pt;Book Antiqua"/>
        </w:rPr>
        <w:fldChar w:fldCharType="end"/>
      </w:r>
      <w:r>
        <w:rPr>
          <w:rFonts w:eastAsia="Tms Rmn 12pt;Book Antiqua" w:cs="Tms Rmn 12pt;Book Antiqua" w:ascii="Tms Rmn 12pt;Book Antiqua" w:hAnsi="Tms Rmn 12pt;Book Antiqua"/>
        </w:rPr>
        <w:t>.</w:t>
        <w:tab/>
      </w:r>
      <w:r>
        <w:rPr>
          <w:rFonts w:eastAsia="Tms Rmn 12pt;Book Antiqua" w:cs="Tms Rmn 12pt;Book Antiqua" w:ascii="Tms Rmn 12pt;Book Antiqua" w:hAnsi="Tms Rmn 12pt;Book Antiqua"/>
          <w:u w:val="single"/>
        </w:rPr>
        <w:t>Confirmations</w:t>
      </w:r>
      <w:r>
        <w:rPr>
          <w:rFonts w:eastAsia="Tms Rmn 12pt;Book Antiqua" w:cs="Tms Rmn 12pt;Book Antiqua" w:ascii="Tms Rmn 12pt;Book Antiqua" w:hAnsi="Tms Rmn 12pt;Book Antiqua"/>
        </w:rPr>
        <w: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WSPP proposes adding §32.5: "non-standard confirmation provisions shall not be deemed to be accepted ... unless agreed to:  (i) orally, with that oral agreement recorded ..." and §32.6: "Written confirmation ... may be provided in electronic format so long as the Parties to the affected ... transactions have agreed on the procedures and format for doing so."</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The "Statute of Frauds," enacted in England in 1677, and in every U.S. State since, provides that if certain types of con</w:t>
        <w:softHyphen/>
        <w:t xml:space="preserve">tracts, typically those to be performed in more than a year, to guarantee debts, or to lend money, are not in writing and signed, they are invalid.  New York and California amended their Statues of Frauds to enforce "qualified financial contracts" (e.g. ISDA Schedules) evidenced by a recorded phone call, e-mail, or unobjected-to confirmation under most typical circumstances (Cal. Civ. Code §1624(b)).  However, the WSPP Agreement is governed by Utah law (§24), and Utah's Statute of Frauds, Title 25 Chapter 5, does not make this exception.  Until the WSPP leadership has presented its legal research to the WSPP membership showing that e-mail or a recorded phone call would to satisfy the writing requirement, the WSPP should not adopt the proposed change. </w:t>
      </w:r>
    </w:p>
    <w:sectPr>
      <w:footerReference w:type="default" r:id="rId3"/>
      <w:type w:val="nextPage"/>
      <w:pgSz w:w="12240" w:h="15840"/>
      <w:pgMar w:left="1440" w:right="1440" w:gutter="0" w:header="0" w:top="1008" w:footer="720" w:bottom="100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ms Rmn 12pt">
    <w:altName w:val="Book Antiqu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suppressAutoHyphens w:val="true"/>
      <w:rPr>
        <w:sz w:val="10"/>
        <w:szCs w:val="10"/>
      </w:rPr>
    </w:pPr>
    <w:r>
      <w:rPr>
        <w:sz w:val="10"/>
        <w:szCs w:val="10"/>
      </w:rPr>
    </w:r>
  </w:p>
  <w:p>
    <w:pPr>
      <w:pStyle w:val="Normal"/>
      <w:rPr>
        <w:lang w:val="en-CA"/>
      </w:rPr>
    </w:pPr>
    <w:r>
      <w:rPr>
        <w:lang w:val="en-CA"/>
      </w:rPr>
      <mc:AlternateContent>
        <mc:Choice Requires="wps">
          <w:drawing>
            <wp:anchor behindDoc="0" distT="0" distB="0" distL="0" distR="0" simplePos="0" locked="0" layoutInCell="0" allowOverlap="1" relativeHeight="4">
              <wp:simplePos x="0" y="0"/>
              <wp:positionH relativeFrom="page">
                <wp:posOffset>914400</wp:posOffset>
              </wp:positionH>
              <wp:positionV relativeFrom="paragraph">
                <wp:posOffset>152400</wp:posOffset>
              </wp:positionV>
              <wp:extent cx="5943600" cy="173355"/>
              <wp:effectExtent l="0" t="0" r="0" b="0"/>
              <wp:wrapNone/>
              <wp:docPr id="2" name=""/>
              <a:graphic xmlns:a="http://schemas.openxmlformats.org/drawingml/2006/main">
                <a:graphicData uri="http://schemas.microsoft.com/office/word/2010/wordprocessingShape">
                  <wps:wsp>
                    <wps:cNvSpPr txBox="1"/>
                    <wps:spPr>
                      <a:xfrm>
                        <a:off x="0" y="0"/>
                        <a:ext cx="5943600" cy="173520"/>
                      </a:xfrm>
                      <a:prstGeom prst="rect">
                        <a:avLst/>
                      </a:prstGeom>
                      <a:noFill/>
                      <a:ln w="0">
                        <a:noFill/>
                      </a:ln>
                    </wps:spPr>
                    <wps:txb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12pt;width:467.95pt;height:13.6pt;mso-wrap-style:square;v-text-anchor:top;mso-position-horizontal-relative:page" type="_x0000_t202">
              <v:textbo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p>
                </w:txbxContent>
              </v:textbox>
              <v:fill o:detectmouseclick="t" on="false"/>
              <v:stroke color="#3465a4" joinstyle="round" endcap="flat"/>
              <w10:wrap type="none"/>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Roman"/>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numPr>
        <w:ilvl w:val="0"/>
        <w:numId w:val="2"/>
      </w:numPr>
      <w:outlineLvl w:val="0"/>
    </w:pPr>
    <w:rPr/>
  </w:style>
  <w:style w:type="paragraph" w:styleId="Heading2">
    <w:name w:val="heading 2"/>
    <w:basedOn w:val="Normal"/>
    <w:next w:val="Normal"/>
    <w:qFormat/>
    <w:pPr>
      <w:numPr>
        <w:ilvl w:val="1"/>
        <w:numId w:val="3"/>
      </w:numPr>
      <w:outlineLvl w:val="1"/>
    </w:pPr>
    <w:rPr/>
  </w:style>
  <w:style w:type="paragraph" w:styleId="Heading3">
    <w:name w:val="heading 3"/>
    <w:basedOn w:val="Normal"/>
    <w:next w:val="Normal"/>
    <w:qFormat/>
    <w:pPr>
      <w:numPr>
        <w:ilvl w:val="2"/>
        <w:numId w:val="4"/>
      </w:numPr>
      <w:outlineLvl w:val="2"/>
    </w:pPr>
    <w:rPr/>
  </w:style>
  <w:style w:type="paragraph" w:styleId="Heading4">
    <w:name w:val="heading 4"/>
    <w:basedOn w:val="Normal"/>
    <w:next w:val="Normal"/>
    <w:qFormat/>
    <w:pPr>
      <w:numPr>
        <w:ilvl w:val="3"/>
        <w:numId w:val="5"/>
      </w:numPr>
      <w:outlineLvl w:val="3"/>
    </w:pPr>
    <w:rPr/>
  </w:style>
  <w:style w:type="paragraph" w:styleId="Heading5">
    <w:name w:val="heading 5"/>
    <w:basedOn w:val="Normal"/>
    <w:next w:val="Normal"/>
    <w:qFormat/>
    <w:pPr>
      <w:numPr>
        <w:ilvl w:val="4"/>
        <w:numId w:val="6"/>
      </w:numPr>
      <w:outlineLvl w:val="4"/>
    </w:pPr>
    <w:rPr/>
  </w:style>
  <w:style w:type="paragraph" w:styleId="Heading6">
    <w:name w:val="heading 6"/>
    <w:basedOn w:val="Normal"/>
    <w:next w:val="Normal"/>
    <w:qFormat/>
    <w:pPr>
      <w:numPr>
        <w:ilvl w:val="5"/>
        <w:numId w:val="7"/>
      </w:numPr>
      <w:outlineLvl w:val="5"/>
    </w:pPr>
    <w:rPr/>
  </w:style>
  <w:style w:type="paragraph" w:styleId="Heading7">
    <w:name w:val="heading 7"/>
    <w:basedOn w:val="Normal"/>
    <w:next w:val="Normal"/>
    <w:qFormat/>
    <w:pPr>
      <w:numPr>
        <w:ilvl w:val="6"/>
        <w:numId w:val="8"/>
      </w:numPr>
      <w:outlineLvl w:val="6"/>
    </w:pPr>
    <w:rPr/>
  </w:style>
  <w:style w:type="paragraph" w:styleId="Heading8">
    <w:name w:val="heading 8"/>
    <w:basedOn w:val="Normal"/>
    <w:next w:val="Normal"/>
    <w:qFormat/>
    <w:pPr>
      <w:numPr>
        <w:ilvl w:val="7"/>
        <w:numId w:val="9"/>
      </w:numPr>
      <w:outlineLvl w:val="7"/>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2001-10-28T19:10:00Z</dcterms:created>
  <dc:creator>Jeremy D. Weinstein</dc:creator>
  <dc:description/>
  <dc:language>en-CA</dc:language>
  <cp:lastModifiedBy>Jeremy D. Weinstein</cp:lastModifiedBy>
  <cp:lastPrinted>2001-10-30T15:55:00Z</cp:lastPrinted>
  <dcterms:modified xsi:type="dcterms:W3CDTF">2001-10-31T00:20:00Z</dcterms:modified>
  <cp:revision>1</cp:revision>
  <dc:subject/>
  <dc:title/>
</cp:coreProperties>
</file>